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89D0" w14:textId="486002FA" w:rsidR="001C4EA7" w:rsidRPr="00670342" w:rsidRDefault="00663055" w:rsidP="00496873">
      <w:pPr>
        <w:pStyle w:val="Subtitle"/>
        <w:rPr>
          <w:lang w:val="en-US"/>
        </w:rPr>
      </w:pPr>
      <w:r w:rsidRPr="003F369C">
        <w:t>Երևանի «</w:t>
      </w:r>
      <w:r w:rsidRPr="00496873">
        <w:t>Հայբուսակ</w:t>
      </w:r>
      <w:r w:rsidRPr="003F369C">
        <w:t xml:space="preserve">» </w:t>
      </w:r>
      <w:r w:rsidRPr="00584A74">
        <w:t>համալսարան</w:t>
      </w:r>
      <w:r w:rsidRPr="003F369C">
        <w:t xml:space="preserve"> </w:t>
      </w:r>
      <w:r w:rsidR="003715CA">
        <w:rPr>
          <w:rFonts w:cs="Tahoma"/>
        </w:rPr>
        <w:t>▪</w:t>
      </w:r>
      <w:r w:rsidR="00670342">
        <w:t xml:space="preserve"> </w:t>
      </w:r>
      <w:r w:rsidR="00670342">
        <w:rPr>
          <w:lang w:val="en-US"/>
        </w:rPr>
        <w:t>Yerevan Haybusak University</w:t>
      </w:r>
    </w:p>
    <w:p w14:paraId="29EC9FF9" w14:textId="6688B98C" w:rsidR="004D5EED" w:rsidRDefault="004D5EED" w:rsidP="00496873">
      <w:pPr>
        <w:pStyle w:val="Title"/>
        <w:rPr>
          <w:spacing w:val="0"/>
        </w:rPr>
      </w:pPr>
      <w:r>
        <w:rPr>
          <w:spacing w:val="0"/>
          <w:lang w:val="en-US"/>
        </w:rPr>
        <w:t>202</w:t>
      </w:r>
      <w:r w:rsidR="00FB6180">
        <w:rPr>
          <w:spacing w:val="0"/>
          <w:lang w:val="en-US"/>
        </w:rPr>
        <w:t xml:space="preserve">2 </w:t>
      </w:r>
      <w:r w:rsidR="00FB6180">
        <w:rPr>
          <w:spacing w:val="0"/>
        </w:rPr>
        <w:t>թ․ ո</w:t>
      </w:r>
      <w:r w:rsidR="00DE36A3" w:rsidRPr="00670342">
        <w:rPr>
          <w:spacing w:val="0"/>
        </w:rPr>
        <w:t>ւսման ո</w:t>
      </w:r>
      <w:r w:rsidR="00663055" w:rsidRPr="00670342">
        <w:rPr>
          <w:spacing w:val="0"/>
        </w:rPr>
        <w:t>րակի բարելավման հարցում</w:t>
      </w:r>
      <w:r w:rsidR="00670342" w:rsidRPr="00670342">
        <w:rPr>
          <w:spacing w:val="0"/>
        </w:rPr>
        <w:t xml:space="preserve"> </w:t>
      </w:r>
    </w:p>
    <w:p w14:paraId="2C078E63" w14:textId="1316EE12" w:rsidR="003B27D7" w:rsidRPr="00670342" w:rsidRDefault="00FB6180" w:rsidP="00496873">
      <w:pPr>
        <w:pStyle w:val="Title"/>
        <w:rPr>
          <w:spacing w:val="0"/>
          <w:lang w:val="en-US"/>
        </w:rPr>
      </w:pPr>
      <w:r>
        <w:rPr>
          <w:spacing w:val="0"/>
          <w:lang w:val="en-US"/>
        </w:rPr>
        <w:t xml:space="preserve">2022 </w:t>
      </w:r>
      <w:r w:rsidR="00670342" w:rsidRPr="00670342">
        <w:rPr>
          <w:spacing w:val="0"/>
          <w:lang w:val="en-US"/>
        </w:rPr>
        <w:t>Quality Enhancement Survey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1"/>
        <w:gridCol w:w="5629"/>
        <w:gridCol w:w="205"/>
      </w:tblGrid>
      <w:tr w:rsidR="00DE360F" w:rsidRPr="00C774CD" w14:paraId="3935E2D9" w14:textId="77777777" w:rsidTr="00F93370">
        <w:tc>
          <w:tcPr>
            <w:tcW w:w="4714" w:type="dxa"/>
            <w:gridSpan w:val="2"/>
          </w:tcPr>
          <w:p w14:paraId="5C745C38" w14:textId="35D102F7" w:rsidR="00C774CD" w:rsidRPr="002F4E2E" w:rsidRDefault="00C774CD" w:rsidP="00B04A91">
            <w:pPr>
              <w:rPr>
                <w:lang w:val="hy-AM"/>
              </w:rPr>
            </w:pPr>
            <w:r w:rsidRPr="00C774CD">
              <w:rPr>
                <w:lang w:val="hy-AM"/>
              </w:rPr>
              <w:t xml:space="preserve">Հարցումն իրականացվել է 2022 թ․ սեպտեմբեր </w:t>
            </w:r>
            <w:r>
              <w:t>-</w:t>
            </w:r>
            <w:r w:rsidRPr="00C774CD">
              <w:rPr>
                <w:lang w:val="hy-AM"/>
              </w:rPr>
              <w:t>դեկտեմբեր ամիսներին համալսարանում ուսման որակը բարելավելու նպատակով։ Օգտագործվել են NPS, CSAT և CES տիպի հարցեր։</w:t>
            </w:r>
            <w:r w:rsidRPr="00C774CD">
              <w:rPr>
                <w:rStyle w:val="FootnoteReference"/>
                <w:lang w:val="hy-AM"/>
              </w:rPr>
              <w:footnoteReference w:id="2"/>
            </w:r>
            <w:r w:rsidR="002F4E2E" w:rsidRPr="002F4E2E">
              <w:rPr>
                <w:lang w:val="hy-AM"/>
              </w:rPr>
              <w:t xml:space="preserve"> </w:t>
            </w:r>
            <w:r w:rsidR="002F4E2E">
              <w:rPr>
                <w:lang w:val="hy-AM"/>
              </w:rPr>
              <w:t xml:space="preserve">Արդյունքների </w:t>
            </w:r>
            <w:proofErr w:type="spellStart"/>
            <w:r w:rsidR="002F4E2E">
              <w:rPr>
                <w:lang w:val="hy-AM"/>
              </w:rPr>
              <w:t>քննարկումնը</w:t>
            </w:r>
            <w:proofErr w:type="spellEnd"/>
            <w:r w:rsidR="002F4E2E">
              <w:rPr>
                <w:lang w:val="hy-AM"/>
              </w:rPr>
              <w:t xml:space="preserve"> տեղի է ունեցել 2023 թ. փետրվարի </w:t>
            </w:r>
            <w:r w:rsidR="0046115D">
              <w:rPr>
                <w:lang w:val="hy-AM"/>
              </w:rPr>
              <w:t>28-ին։</w:t>
            </w:r>
          </w:p>
          <w:p w14:paraId="3D8F5001" w14:textId="77777777" w:rsidR="0012560B" w:rsidRDefault="0012560B" w:rsidP="00B04A91">
            <w:pPr>
              <w:rPr>
                <w:lang w:val="hy-AM"/>
              </w:rPr>
            </w:pPr>
          </w:p>
          <w:p w14:paraId="78732AE7" w14:textId="77777777" w:rsidR="0012560B" w:rsidRDefault="0012560B" w:rsidP="00B04A91">
            <w:pPr>
              <w:rPr>
                <w:lang w:val="hy-AM"/>
              </w:rPr>
            </w:pPr>
            <w:r>
              <w:rPr>
                <w:lang w:val="hy-AM"/>
              </w:rPr>
              <w:t xml:space="preserve">Հարցմանը մասնակցել են </w:t>
            </w:r>
            <w:r w:rsidRPr="00C774CD">
              <w:rPr>
                <w:lang w:val="hy-AM"/>
              </w:rPr>
              <w:t>514</w:t>
            </w:r>
            <w:r w:rsidRPr="003D65AC">
              <w:rPr>
                <w:lang w:val="hy-AM"/>
              </w:rPr>
              <w:t xml:space="preserve"> </w:t>
            </w:r>
            <w:r>
              <w:rPr>
                <w:lang w:val="hy-AM"/>
              </w:rPr>
              <w:t>ուսանող, դասավանդող ու վարչական անձնակազմի ներկայացուցիչ։</w:t>
            </w:r>
          </w:p>
          <w:p w14:paraId="7831FA2F" w14:textId="77777777" w:rsidR="00917A69" w:rsidRDefault="00917A69" w:rsidP="00B04A91">
            <w:pPr>
              <w:rPr>
                <w:lang w:val="hy-AM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529"/>
            </w:tblGrid>
            <w:tr w:rsidR="00917A69" w:rsidRPr="000F2873" w14:paraId="4D223588" w14:textId="77777777" w:rsidTr="00065CD5">
              <w:trPr>
                <w:trHeight w:val="240"/>
              </w:trPr>
              <w:tc>
                <w:tcPr>
                  <w:tcW w:w="3969" w:type="dxa"/>
                  <w:noWrap/>
                  <w:hideMark/>
                </w:tcPr>
                <w:p w14:paraId="7A86BEB2" w14:textId="77777777" w:rsidR="00917A69" w:rsidRPr="00440AFC" w:rsidRDefault="00917A69" w:rsidP="00065CD5">
                  <w:pPr>
                    <w:ind w:left="-76"/>
                    <w:rPr>
                      <w:color w:val="4472C4" w:themeColor="accent1"/>
                    </w:rPr>
                  </w:pPr>
                  <w:r w:rsidRPr="00440AFC">
                    <w:rPr>
                      <w:color w:val="4472C4" w:themeColor="accent1"/>
                      <w:lang w:val="hy-AM"/>
                    </w:rPr>
                    <w:t>Ուսանողներ</w:t>
                  </w:r>
                  <w:r w:rsidRPr="00440AFC">
                    <w:rPr>
                      <w:color w:val="4472C4" w:themeColor="accent1"/>
                    </w:rPr>
                    <w:t xml:space="preserve"> </w:t>
                  </w:r>
                  <w:r w:rsidRPr="00440AFC">
                    <w:rPr>
                      <w:rFonts w:cs="Tahoma"/>
                      <w:color w:val="4472C4" w:themeColor="accent1"/>
                    </w:rPr>
                    <w:t>●</w:t>
                  </w:r>
                  <w:r w:rsidRPr="00440AFC">
                    <w:rPr>
                      <w:color w:val="4472C4" w:themeColor="accent1"/>
                    </w:rPr>
                    <w:t xml:space="preserve"> Students</w:t>
                  </w:r>
                </w:p>
              </w:tc>
              <w:tc>
                <w:tcPr>
                  <w:tcW w:w="529" w:type="dxa"/>
                  <w:noWrap/>
                  <w:hideMark/>
                </w:tcPr>
                <w:p w14:paraId="1E4EB92A" w14:textId="77777777" w:rsidR="00917A69" w:rsidRPr="00440AFC" w:rsidRDefault="00917A69" w:rsidP="00917A69">
                  <w:pPr>
                    <w:ind w:left="-15"/>
                    <w:jc w:val="right"/>
                    <w:rPr>
                      <w:color w:val="4472C4" w:themeColor="accent1"/>
                    </w:rPr>
                  </w:pPr>
                  <w:r w:rsidRPr="00440AFC">
                    <w:rPr>
                      <w:color w:val="4472C4" w:themeColor="accent1"/>
                    </w:rPr>
                    <w:t>372</w:t>
                  </w:r>
                </w:p>
              </w:tc>
            </w:tr>
            <w:tr w:rsidR="00917A69" w:rsidRPr="000F2873" w14:paraId="535EA323" w14:textId="77777777" w:rsidTr="00065CD5">
              <w:trPr>
                <w:trHeight w:val="240"/>
              </w:trPr>
              <w:tc>
                <w:tcPr>
                  <w:tcW w:w="3969" w:type="dxa"/>
                  <w:noWrap/>
                  <w:hideMark/>
                </w:tcPr>
                <w:p w14:paraId="346C81DE" w14:textId="77777777" w:rsidR="00917A69" w:rsidRPr="00F67D02" w:rsidRDefault="00917A69" w:rsidP="00065CD5">
                  <w:pPr>
                    <w:ind w:left="-76"/>
                    <w:rPr>
                      <w:color w:val="ED7D31" w:themeColor="accent2"/>
                    </w:rPr>
                  </w:pPr>
                  <w:r w:rsidRPr="00F67D02">
                    <w:rPr>
                      <w:color w:val="ED7D31" w:themeColor="accent2"/>
                      <w:lang w:val="hy-AM"/>
                    </w:rPr>
                    <w:t>Շրջանավարտներ</w:t>
                  </w:r>
                  <w:r w:rsidRPr="00F67D02">
                    <w:rPr>
                      <w:color w:val="ED7D31" w:themeColor="accent2"/>
                    </w:rPr>
                    <w:t xml:space="preserve"> </w:t>
                  </w:r>
                  <w:r w:rsidRPr="00F67D02">
                    <w:rPr>
                      <w:rFonts w:cs="Tahoma"/>
                      <w:color w:val="ED7D31" w:themeColor="accent2"/>
                    </w:rPr>
                    <w:t>●</w:t>
                  </w:r>
                  <w:r w:rsidRPr="00F67D02">
                    <w:rPr>
                      <w:color w:val="ED7D31" w:themeColor="accent2"/>
                    </w:rPr>
                    <w:t xml:space="preserve"> Graduates</w:t>
                  </w:r>
                </w:p>
              </w:tc>
              <w:tc>
                <w:tcPr>
                  <w:tcW w:w="529" w:type="dxa"/>
                  <w:noWrap/>
                  <w:hideMark/>
                </w:tcPr>
                <w:p w14:paraId="41BEE4DC" w14:textId="77777777" w:rsidR="00917A69" w:rsidRPr="00F67D02" w:rsidRDefault="00917A69" w:rsidP="00917A69">
                  <w:pPr>
                    <w:ind w:left="-15"/>
                    <w:jc w:val="right"/>
                    <w:rPr>
                      <w:color w:val="ED7D31" w:themeColor="accent2"/>
                    </w:rPr>
                  </w:pPr>
                  <w:r w:rsidRPr="00F67D02">
                    <w:rPr>
                      <w:color w:val="ED7D31" w:themeColor="accent2"/>
                    </w:rPr>
                    <w:t>60</w:t>
                  </w:r>
                </w:p>
              </w:tc>
            </w:tr>
            <w:tr w:rsidR="00917A69" w:rsidRPr="000F2873" w14:paraId="38D0D976" w14:textId="77777777" w:rsidTr="00065CD5">
              <w:trPr>
                <w:trHeight w:val="240"/>
              </w:trPr>
              <w:tc>
                <w:tcPr>
                  <w:tcW w:w="3969" w:type="dxa"/>
                  <w:noWrap/>
                  <w:hideMark/>
                </w:tcPr>
                <w:p w14:paraId="70A56009" w14:textId="77777777" w:rsidR="00917A69" w:rsidRPr="00F67D02" w:rsidRDefault="00917A69" w:rsidP="00065CD5">
                  <w:pPr>
                    <w:ind w:left="-76"/>
                    <w:rPr>
                      <w:color w:val="7F7F7F" w:themeColor="text1" w:themeTint="80"/>
                    </w:rPr>
                  </w:pPr>
                  <w:r w:rsidRPr="00F67D02">
                    <w:rPr>
                      <w:color w:val="7F7F7F" w:themeColor="text1" w:themeTint="80"/>
                    </w:rPr>
                    <w:t>Դ</w:t>
                  </w:r>
                  <w:r w:rsidRPr="00F67D02">
                    <w:rPr>
                      <w:color w:val="7F7F7F" w:themeColor="text1" w:themeTint="80"/>
                      <w:lang w:val="hy-AM"/>
                    </w:rPr>
                    <w:t>ասավանդողներ</w:t>
                  </w:r>
                  <w:r w:rsidRPr="00F67D02">
                    <w:rPr>
                      <w:color w:val="7F7F7F" w:themeColor="text1" w:themeTint="80"/>
                    </w:rPr>
                    <w:t xml:space="preserve"> </w:t>
                  </w:r>
                  <w:r w:rsidRPr="00F67D02">
                    <w:rPr>
                      <w:rFonts w:cs="Tahoma"/>
                      <w:color w:val="7F7F7F" w:themeColor="text1" w:themeTint="80"/>
                    </w:rPr>
                    <w:t>●</w:t>
                  </w:r>
                  <w:r w:rsidRPr="00F67D02">
                    <w:rPr>
                      <w:color w:val="7F7F7F" w:themeColor="text1" w:themeTint="80"/>
                    </w:rPr>
                    <w:t xml:space="preserve"> Professors, lecturers</w:t>
                  </w:r>
                </w:p>
              </w:tc>
              <w:tc>
                <w:tcPr>
                  <w:tcW w:w="529" w:type="dxa"/>
                  <w:noWrap/>
                  <w:hideMark/>
                </w:tcPr>
                <w:p w14:paraId="13622FCF" w14:textId="77777777" w:rsidR="00917A69" w:rsidRPr="00F67D02" w:rsidRDefault="00917A69" w:rsidP="00917A69">
                  <w:pPr>
                    <w:ind w:left="-15"/>
                    <w:jc w:val="right"/>
                    <w:rPr>
                      <w:color w:val="7F7F7F" w:themeColor="text1" w:themeTint="80"/>
                    </w:rPr>
                  </w:pPr>
                  <w:r w:rsidRPr="00F67D02">
                    <w:rPr>
                      <w:color w:val="7F7F7F" w:themeColor="text1" w:themeTint="80"/>
                    </w:rPr>
                    <w:t>57</w:t>
                  </w:r>
                </w:p>
              </w:tc>
            </w:tr>
            <w:tr w:rsidR="00917A69" w:rsidRPr="000F2873" w14:paraId="6BD10349" w14:textId="77777777" w:rsidTr="00065CD5">
              <w:trPr>
                <w:trHeight w:val="240"/>
              </w:trPr>
              <w:tc>
                <w:tcPr>
                  <w:tcW w:w="3969" w:type="dxa"/>
                  <w:noWrap/>
                  <w:hideMark/>
                </w:tcPr>
                <w:p w14:paraId="3F3365B9" w14:textId="77777777" w:rsidR="00917A69" w:rsidRPr="00F67D02" w:rsidRDefault="00917A69" w:rsidP="00065CD5">
                  <w:pPr>
                    <w:ind w:left="-76"/>
                    <w:rPr>
                      <w:color w:val="FFC000" w:themeColor="accent4"/>
                    </w:rPr>
                  </w:pPr>
                  <w:r w:rsidRPr="00F67D02">
                    <w:rPr>
                      <w:color w:val="FFC000" w:themeColor="accent4"/>
                      <w:lang w:val="hy-AM"/>
                    </w:rPr>
                    <w:t>Վարչական անձնակազմ</w:t>
                  </w:r>
                  <w:r w:rsidRPr="00F67D02">
                    <w:rPr>
                      <w:color w:val="FFC000" w:themeColor="accent4"/>
                    </w:rPr>
                    <w:t xml:space="preserve"> </w:t>
                  </w:r>
                  <w:r w:rsidRPr="00F67D02">
                    <w:rPr>
                      <w:rFonts w:cs="Tahoma"/>
                      <w:color w:val="FFC000" w:themeColor="accent4"/>
                    </w:rPr>
                    <w:t>●</w:t>
                  </w:r>
                  <w:r w:rsidRPr="00F67D02">
                    <w:rPr>
                      <w:color w:val="FFC000" w:themeColor="accent4"/>
                    </w:rPr>
                    <w:t xml:space="preserve"> Admin staff</w:t>
                  </w:r>
                </w:p>
              </w:tc>
              <w:tc>
                <w:tcPr>
                  <w:tcW w:w="529" w:type="dxa"/>
                  <w:noWrap/>
                  <w:hideMark/>
                </w:tcPr>
                <w:p w14:paraId="31D24C97" w14:textId="77777777" w:rsidR="00917A69" w:rsidRPr="00F67D02" w:rsidRDefault="00917A69" w:rsidP="00917A69">
                  <w:pPr>
                    <w:ind w:left="-15"/>
                    <w:jc w:val="right"/>
                    <w:rPr>
                      <w:color w:val="FFC000" w:themeColor="accent4"/>
                    </w:rPr>
                  </w:pPr>
                  <w:r w:rsidRPr="00F67D02">
                    <w:rPr>
                      <w:color w:val="FFC000" w:themeColor="accent4"/>
                    </w:rPr>
                    <w:t>19</w:t>
                  </w:r>
                </w:p>
              </w:tc>
            </w:tr>
            <w:tr w:rsidR="00917A69" w:rsidRPr="000F2873" w14:paraId="0181786F" w14:textId="77777777" w:rsidTr="00065CD5">
              <w:trPr>
                <w:trHeight w:val="240"/>
              </w:trPr>
              <w:tc>
                <w:tcPr>
                  <w:tcW w:w="3969" w:type="dxa"/>
                  <w:noWrap/>
                </w:tcPr>
                <w:p w14:paraId="4C77FDD5" w14:textId="77777777" w:rsidR="00917A69" w:rsidRPr="00F67D02" w:rsidRDefault="00917A69" w:rsidP="00065CD5">
                  <w:pPr>
                    <w:ind w:left="-76"/>
                    <w:rPr>
                      <w:color w:val="99CC00"/>
                    </w:rPr>
                  </w:pPr>
                  <w:r w:rsidRPr="00F67D02">
                    <w:rPr>
                      <w:color w:val="99CC00"/>
                      <w:lang w:val="hy-AM"/>
                    </w:rPr>
                    <w:t xml:space="preserve">Գործատուներ </w:t>
                  </w:r>
                  <w:r w:rsidRPr="00F67D02">
                    <w:rPr>
                      <w:rFonts w:cs="Tahoma"/>
                      <w:color w:val="99CC00"/>
                    </w:rPr>
                    <w:t xml:space="preserve">● </w:t>
                  </w:r>
                  <w:r w:rsidRPr="00F67D02">
                    <w:rPr>
                      <w:color w:val="99CC00"/>
                    </w:rPr>
                    <w:t>Employers</w:t>
                  </w:r>
                </w:p>
              </w:tc>
              <w:tc>
                <w:tcPr>
                  <w:tcW w:w="529" w:type="dxa"/>
                  <w:noWrap/>
                </w:tcPr>
                <w:p w14:paraId="3251A707" w14:textId="77777777" w:rsidR="00917A69" w:rsidRPr="00F67D02" w:rsidRDefault="00917A69" w:rsidP="00917A69">
                  <w:pPr>
                    <w:ind w:left="-15"/>
                    <w:jc w:val="right"/>
                    <w:rPr>
                      <w:color w:val="99CC00"/>
                    </w:rPr>
                  </w:pPr>
                  <w:r w:rsidRPr="00F67D02">
                    <w:rPr>
                      <w:color w:val="99CC00"/>
                    </w:rPr>
                    <w:t>6</w:t>
                  </w:r>
                </w:p>
              </w:tc>
            </w:tr>
          </w:tbl>
          <w:p w14:paraId="53C11033" w14:textId="3B733C85" w:rsidR="00A70793" w:rsidRPr="00C774CD" w:rsidRDefault="00A70793" w:rsidP="00A70793">
            <w:pPr>
              <w:spacing w:after="260"/>
              <w:rPr>
                <w:lang w:val="hy-AM"/>
              </w:rPr>
            </w:pPr>
          </w:p>
        </w:tc>
        <w:tc>
          <w:tcPr>
            <w:tcW w:w="5834" w:type="dxa"/>
            <w:gridSpan w:val="2"/>
          </w:tcPr>
          <w:p w14:paraId="235B6592" w14:textId="62EC5EAF" w:rsidR="0012560B" w:rsidRDefault="00C774CD" w:rsidP="00B04A91">
            <w:pPr>
              <w:rPr>
                <w:lang w:val="en-GB"/>
              </w:rPr>
            </w:pPr>
            <w:r w:rsidRPr="00CF685C">
              <w:rPr>
                <w:lang w:val="en-GB"/>
              </w:rPr>
              <w:t xml:space="preserve">The survey was conducted in September-December 2022 to improve the quality of </w:t>
            </w:r>
            <w:r>
              <w:rPr>
                <w:lang w:val="en-GB"/>
              </w:rPr>
              <w:t>education</w:t>
            </w:r>
            <w:r w:rsidRPr="00CF685C">
              <w:rPr>
                <w:lang w:val="en-GB"/>
              </w:rPr>
              <w:t xml:space="preserve"> at </w:t>
            </w:r>
            <w:r>
              <w:rPr>
                <w:lang w:val="en-GB"/>
              </w:rPr>
              <w:t>YHU</w:t>
            </w:r>
            <w:r w:rsidRPr="00CF685C">
              <w:rPr>
                <w:lang w:val="en-GB"/>
              </w:rPr>
              <w:t>. NPS, CSAT and CES-type questions were used.</w:t>
            </w:r>
            <w:r>
              <w:rPr>
                <w:rStyle w:val="FootnoteReference"/>
                <w:lang w:val="hy-AM"/>
              </w:rPr>
              <w:footnoteReference w:id="3"/>
            </w:r>
            <w:r w:rsidRPr="000E4081">
              <w:rPr>
                <w:lang w:val="en-GB"/>
              </w:rPr>
              <w:t xml:space="preserve"> </w:t>
            </w:r>
            <w:r w:rsidR="002F4BBB">
              <w:rPr>
                <w:lang w:val="en-GB"/>
              </w:rPr>
              <w:t>A g</w:t>
            </w:r>
            <w:r w:rsidRPr="00CF685C">
              <w:rPr>
                <w:lang w:val="en-GB"/>
              </w:rPr>
              <w:t xml:space="preserve">roup discussion of the results </w:t>
            </w:r>
            <w:r w:rsidR="002F4BBB">
              <w:rPr>
                <w:lang w:val="en-GB"/>
              </w:rPr>
              <w:t>was held</w:t>
            </w:r>
            <w:r w:rsidRPr="00CF685C">
              <w:rPr>
                <w:lang w:val="en-GB"/>
              </w:rPr>
              <w:t xml:space="preserve"> on </w:t>
            </w:r>
            <w:r w:rsidR="00DD544C">
              <w:rPr>
                <w:lang w:val="en-GB"/>
              </w:rPr>
              <w:t>28</w:t>
            </w:r>
            <w:r w:rsidRPr="00CF685C">
              <w:rPr>
                <w:lang w:val="en-GB"/>
              </w:rPr>
              <w:t xml:space="preserve"> </w:t>
            </w:r>
            <w:r w:rsidR="004C75E2">
              <w:rPr>
                <w:lang w:val="en-GB"/>
              </w:rPr>
              <w:t>Febr</w:t>
            </w:r>
            <w:r w:rsidRPr="00CF685C">
              <w:rPr>
                <w:lang w:val="en-GB"/>
              </w:rPr>
              <w:t>uary 2023.</w:t>
            </w:r>
          </w:p>
          <w:p w14:paraId="4C1C38DA" w14:textId="77777777" w:rsidR="00917A69" w:rsidRDefault="00917A69" w:rsidP="00B04A91">
            <w:pPr>
              <w:rPr>
                <w:lang w:val="en-GB"/>
              </w:rPr>
            </w:pPr>
          </w:p>
          <w:p w14:paraId="79F61AE6" w14:textId="0E3D71B3" w:rsidR="003B53B9" w:rsidRDefault="00917A69" w:rsidP="00B04A91">
            <w:r>
              <w:t>The following is a breakdown of 514 survey participants:</w:t>
            </w:r>
          </w:p>
          <w:p w14:paraId="309758C9" w14:textId="5E4EC086" w:rsidR="00C774CD" w:rsidRPr="00C774CD" w:rsidRDefault="00107B52" w:rsidP="00B04A91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E3CCA18" wp14:editId="37C7F461">
                  <wp:extent cx="3567430" cy="17145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30A6E5-BB77-4B4F-AB22-F00E245B4D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F93370" w:rsidRPr="00F93370" w14:paraId="7B3D092F" w14:textId="3673ACE0" w:rsidTr="00A70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0" w:type="dxa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F9F2DF2" w14:textId="77777777" w:rsidR="00F93370" w:rsidRDefault="00F93370" w:rsidP="00251464">
            <w:pPr>
              <w:spacing w:after="60"/>
              <w:rPr>
                <w:lang w:val="hy-AM"/>
              </w:rPr>
            </w:pPr>
            <w:r w:rsidRPr="00F93370">
              <w:rPr>
                <w:lang w:val="hy-AM"/>
              </w:rPr>
              <w:t xml:space="preserve">Արդյունքում ստացվել է հետևյալ պատկերը․ </w:t>
            </w:r>
          </w:p>
          <w:p w14:paraId="3A35F0A3" w14:textId="77777777" w:rsidR="00F93370" w:rsidRDefault="00F93370" w:rsidP="00251464">
            <w:pPr>
              <w:spacing w:after="60"/>
              <w:rPr>
                <w:lang w:val="hy-AM"/>
              </w:rPr>
            </w:pPr>
          </w:p>
          <w:p w14:paraId="3F7B60CA" w14:textId="7C381F3F" w:rsidR="00F93370" w:rsidRPr="00F93370" w:rsidRDefault="00F93370" w:rsidP="00251464">
            <w:pPr>
              <w:spacing w:after="60"/>
              <w:rPr>
                <w:lang w:val="hy-AM"/>
              </w:rPr>
            </w:pPr>
            <w:r>
              <w:rPr>
                <w:b/>
                <w:bCs/>
                <w:lang w:val="hy-AM"/>
              </w:rPr>
              <w:t xml:space="preserve">1. </w:t>
            </w:r>
            <w:r w:rsidRPr="002950D2">
              <w:rPr>
                <w:b/>
                <w:bCs/>
                <w:lang w:val="hy-AM"/>
              </w:rPr>
              <w:t>NPS.</w:t>
            </w:r>
            <w:r w:rsidRPr="002950D2">
              <w:rPr>
                <w:lang w:val="hy-AM"/>
              </w:rPr>
              <w:t xml:space="preserve"> </w:t>
            </w:r>
            <w:r w:rsidRPr="001274CB">
              <w:rPr>
                <w:lang w:val="hy-AM"/>
              </w:rPr>
              <w:t>Որքա՞ն է հավանական, որ խորհուրդ կտաք «Հայբուսակ</w:t>
            </w:r>
            <w:r>
              <w:rPr>
                <w:lang w:val="hy-AM"/>
              </w:rPr>
              <w:t>»</w:t>
            </w:r>
            <w:r w:rsidRPr="001274CB">
              <w:rPr>
                <w:lang w:val="hy-AM"/>
              </w:rPr>
              <w:t xml:space="preserve"> համալսարանը Ձեր ընկերներին և ծանոթներին: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C51D1" w14:textId="77777777" w:rsidR="00F93370" w:rsidRDefault="00F93370" w:rsidP="003516CA">
            <w:pPr>
              <w:spacing w:before="260" w:after="60"/>
              <w:rPr>
                <w:lang w:val="hy-AM"/>
              </w:rPr>
            </w:pPr>
            <w:r w:rsidRPr="00F93370">
              <w:t>The results of the survey are the following:</w:t>
            </w:r>
            <w:r w:rsidRPr="00773EC0">
              <w:rPr>
                <w:lang w:val="hy-AM"/>
              </w:rPr>
              <w:t xml:space="preserve"> </w:t>
            </w:r>
          </w:p>
          <w:p w14:paraId="3743A06D" w14:textId="77777777" w:rsidR="00D04C58" w:rsidRDefault="00D04C58" w:rsidP="00251464">
            <w:pPr>
              <w:spacing w:after="60"/>
              <w:rPr>
                <w:b/>
                <w:bCs/>
                <w:lang w:val="hy-AM"/>
              </w:rPr>
            </w:pPr>
          </w:p>
          <w:p w14:paraId="0EBBCC9E" w14:textId="4B633060" w:rsidR="00F93370" w:rsidRPr="00F93370" w:rsidRDefault="00F93370" w:rsidP="00251464">
            <w:pPr>
              <w:spacing w:after="60"/>
              <w:rPr>
                <w:lang w:val="hy-AM"/>
              </w:rPr>
            </w:pPr>
            <w:r>
              <w:rPr>
                <w:b/>
                <w:bCs/>
                <w:lang w:val="hy-AM"/>
              </w:rPr>
              <w:t xml:space="preserve">1. </w:t>
            </w:r>
            <w:r w:rsidRPr="002950D2">
              <w:rPr>
                <w:b/>
                <w:bCs/>
                <w:lang w:val="hy-AM"/>
              </w:rPr>
              <w:t>NPS</w:t>
            </w:r>
            <w:r>
              <w:rPr>
                <w:b/>
                <w:bCs/>
              </w:rPr>
              <w:t>:</w:t>
            </w:r>
            <w:r w:rsidRPr="002950D2">
              <w:rPr>
                <w:lang w:val="hy-AM"/>
              </w:rPr>
              <w:t xml:space="preserve"> </w:t>
            </w:r>
            <w:proofErr w:type="spellStart"/>
            <w:r w:rsidRPr="00773EC0">
              <w:rPr>
                <w:lang w:val="hy-AM"/>
              </w:rPr>
              <w:t>How</w:t>
            </w:r>
            <w:proofErr w:type="spellEnd"/>
            <w:r w:rsidRPr="00773EC0">
              <w:rPr>
                <w:lang w:val="hy-AM"/>
              </w:rPr>
              <w:t xml:space="preserve"> </w:t>
            </w:r>
            <w:proofErr w:type="spellStart"/>
            <w:r w:rsidRPr="00773EC0">
              <w:rPr>
                <w:lang w:val="hy-AM"/>
              </w:rPr>
              <w:t>likely</w:t>
            </w:r>
            <w:proofErr w:type="spellEnd"/>
            <w:r w:rsidRPr="00773EC0">
              <w:rPr>
                <w:lang w:val="hy-AM"/>
              </w:rPr>
              <w:t xml:space="preserve"> </w:t>
            </w:r>
            <w:proofErr w:type="spellStart"/>
            <w:r w:rsidRPr="00773EC0">
              <w:rPr>
                <w:lang w:val="hy-AM"/>
              </w:rPr>
              <w:t>are</w:t>
            </w:r>
            <w:proofErr w:type="spellEnd"/>
            <w:r w:rsidRPr="00773EC0">
              <w:rPr>
                <w:lang w:val="hy-AM"/>
              </w:rPr>
              <w:t xml:space="preserve"> </w:t>
            </w:r>
            <w:proofErr w:type="spellStart"/>
            <w:r w:rsidRPr="00773EC0">
              <w:rPr>
                <w:lang w:val="hy-AM"/>
              </w:rPr>
              <w:t>you</w:t>
            </w:r>
            <w:proofErr w:type="spellEnd"/>
            <w:r w:rsidRPr="00773EC0">
              <w:rPr>
                <w:lang w:val="hy-AM"/>
              </w:rPr>
              <w:t xml:space="preserve"> to </w:t>
            </w:r>
            <w:proofErr w:type="spellStart"/>
            <w:r w:rsidRPr="00773EC0">
              <w:rPr>
                <w:lang w:val="hy-AM"/>
              </w:rPr>
              <w:t>recommend</w:t>
            </w:r>
            <w:proofErr w:type="spellEnd"/>
            <w:r w:rsidRPr="00D1066A">
              <w:rPr>
                <w:lang w:val="hy-AM"/>
              </w:rPr>
              <w:t xml:space="preserve"> Haybusak </w:t>
            </w:r>
            <w:r w:rsidRPr="00773EC0">
              <w:rPr>
                <w:lang w:val="hy-AM"/>
              </w:rPr>
              <w:t xml:space="preserve">University to </w:t>
            </w:r>
            <w:proofErr w:type="spellStart"/>
            <w:r w:rsidRPr="00773EC0">
              <w:rPr>
                <w:lang w:val="hy-AM"/>
              </w:rPr>
              <w:t>your</w:t>
            </w:r>
            <w:proofErr w:type="spellEnd"/>
            <w:r w:rsidRPr="00773EC0">
              <w:rPr>
                <w:lang w:val="hy-AM"/>
              </w:rPr>
              <w:t xml:space="preserve"> </w:t>
            </w:r>
            <w:proofErr w:type="spellStart"/>
            <w:r w:rsidRPr="00773EC0">
              <w:rPr>
                <w:lang w:val="hy-AM"/>
              </w:rPr>
              <w:t>friends</w:t>
            </w:r>
            <w:proofErr w:type="spellEnd"/>
            <w:r w:rsidRPr="00773EC0">
              <w:rPr>
                <w:lang w:val="hy-AM"/>
              </w:rPr>
              <w:t xml:space="preserve"> </w:t>
            </w:r>
            <w:proofErr w:type="spellStart"/>
            <w:r w:rsidRPr="00773EC0">
              <w:rPr>
                <w:lang w:val="hy-AM"/>
              </w:rPr>
              <w:t>and</w:t>
            </w:r>
            <w:proofErr w:type="spellEnd"/>
            <w:r w:rsidRPr="00773EC0">
              <w:rPr>
                <w:lang w:val="hy-AM"/>
              </w:rPr>
              <w:t xml:space="preserve"> </w:t>
            </w:r>
            <w:proofErr w:type="spellStart"/>
            <w:r w:rsidRPr="00773EC0">
              <w:rPr>
                <w:lang w:val="hy-AM"/>
              </w:rPr>
              <w:t>acquaintances</w:t>
            </w:r>
            <w:proofErr w:type="spellEnd"/>
            <w:r w:rsidRPr="00773EC0">
              <w:rPr>
                <w:lang w:val="hy-AM"/>
              </w:rPr>
              <w:t>?</w:t>
            </w:r>
          </w:p>
        </w:tc>
      </w:tr>
    </w:tbl>
    <w:p w14:paraId="522498D9" w14:textId="24A427ED" w:rsidR="008E358C" w:rsidRPr="002A4408" w:rsidRDefault="008E358C" w:rsidP="001274CB">
      <w:pPr>
        <w:rPr>
          <w:lang w:val="hy-AM"/>
        </w:rPr>
      </w:pPr>
    </w:p>
    <w:tbl>
      <w:tblPr>
        <w:tblW w:w="10264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941"/>
        <w:gridCol w:w="1377"/>
        <w:gridCol w:w="1134"/>
      </w:tblGrid>
      <w:tr w:rsidR="007C3EB3" w:rsidRPr="00FB53B8" w14:paraId="53FD0B2C" w14:textId="77777777" w:rsidTr="001119E7">
        <w:trPr>
          <w:trHeight w:val="630"/>
        </w:trPr>
        <w:tc>
          <w:tcPr>
            <w:tcW w:w="2835" w:type="dxa"/>
            <w:shd w:val="clear" w:color="auto" w:fill="D9E2F3" w:themeFill="accent1" w:themeFillTint="33"/>
            <w:noWrap/>
            <w:vAlign w:val="center"/>
            <w:hideMark/>
          </w:tcPr>
          <w:p w14:paraId="508A4BFE" w14:textId="33C237DA" w:rsidR="00B07FA2" w:rsidRPr="00FB53B8" w:rsidRDefault="00B07FA2" w:rsidP="00353E82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4"/>
                <w:szCs w:val="14"/>
              </w:rPr>
            </w:pPr>
            <w:r w:rsidRPr="00FB53B8">
              <w:rPr>
                <w:rFonts w:eastAsia="Times New Roman" w:cs="Tahoma"/>
                <w:b/>
                <w:bCs/>
                <w:color w:val="000000"/>
                <w:sz w:val="14"/>
                <w:szCs w:val="14"/>
              </w:rPr>
              <w:t>NPS</w:t>
            </w:r>
            <w:r w:rsidR="000317F0">
              <w:rPr>
                <w:rFonts w:eastAsia="Times New Roman" w:cs="Tahoma"/>
                <w:b/>
                <w:bCs/>
                <w:color w:val="000000"/>
                <w:sz w:val="14"/>
                <w:szCs w:val="14"/>
              </w:rPr>
              <w:t xml:space="preserve"> (A-B)</w:t>
            </w:r>
            <w:r w:rsidR="00682858" w:rsidRPr="006913DD">
              <w:rPr>
                <w:rFonts w:eastAsia="Times New Roman" w:cs="Tahoma"/>
                <w:color w:val="000000"/>
                <w:sz w:val="14"/>
                <w:szCs w:val="14"/>
              </w:rPr>
              <w:t>:</w:t>
            </w:r>
            <w:r w:rsidR="00682858">
              <w:rPr>
                <w:rFonts w:eastAsia="Times New Roman" w:cs="Tahom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530030" w:rsidRPr="006913DD">
              <w:rPr>
                <w:rFonts w:eastAsia="Times New Roman" w:cs="Tahoma"/>
                <w:color w:val="000000"/>
                <w:sz w:val="14"/>
                <w:szCs w:val="14"/>
              </w:rPr>
              <w:t>59.53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  <w:hideMark/>
          </w:tcPr>
          <w:p w14:paraId="64922750" w14:textId="386E4F5D" w:rsidR="00B07FA2" w:rsidRPr="00FB53B8" w:rsidRDefault="00B07FA2" w:rsidP="00C45F85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FB53B8">
              <w:rPr>
                <w:rFonts w:eastAsia="Times New Roman" w:cs="Tahoma"/>
                <w:color w:val="000000"/>
                <w:sz w:val="14"/>
                <w:szCs w:val="14"/>
              </w:rPr>
              <w:t>1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  <w:lang w:val="hy-AM"/>
              </w:rPr>
              <w:t>. Շատ է անհավանական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</w:rPr>
              <w:t xml:space="preserve"> Very unlikely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  <w:hideMark/>
          </w:tcPr>
          <w:p w14:paraId="55FB124F" w14:textId="7AE76D7C" w:rsidR="00B07FA2" w:rsidRPr="00FB53B8" w:rsidRDefault="00B07FA2" w:rsidP="00C45F85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FB53B8">
              <w:rPr>
                <w:rFonts w:eastAsia="Times New Roman" w:cs="Tahoma"/>
                <w:color w:val="000000"/>
                <w:sz w:val="14"/>
                <w:szCs w:val="14"/>
              </w:rPr>
              <w:t xml:space="preserve">2. 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  <w:lang w:val="hy-AM"/>
              </w:rPr>
              <w:t>Անհավանական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</w:rPr>
              <w:t xml:space="preserve"> է Unlikely</w:t>
            </w:r>
          </w:p>
        </w:tc>
        <w:tc>
          <w:tcPr>
            <w:tcW w:w="1941" w:type="dxa"/>
            <w:shd w:val="thinDiagStripe" w:color="D9E2F3" w:themeColor="accent1" w:themeTint="33" w:fill="auto"/>
            <w:vAlign w:val="center"/>
            <w:hideMark/>
          </w:tcPr>
          <w:p w14:paraId="43C715A7" w14:textId="77777777" w:rsidR="00C9670B" w:rsidRPr="00F82398" w:rsidRDefault="00B07FA2" w:rsidP="00C45F85">
            <w:pPr>
              <w:spacing w:after="0" w:line="240" w:lineRule="auto"/>
              <w:jc w:val="right"/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</w:pPr>
            <w:r w:rsidRPr="00F82398"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  <w:t xml:space="preserve">3. </w:t>
            </w:r>
            <w:r w:rsidRPr="00F82398">
              <w:rPr>
                <w:rFonts w:eastAsia="Times New Roman" w:cs="Tahoma"/>
                <w:color w:val="7F7F7F" w:themeColor="text1" w:themeTint="80"/>
                <w:sz w:val="14"/>
                <w:szCs w:val="14"/>
                <w:lang w:val="hy-AM"/>
              </w:rPr>
              <w:t>Ոչ հավանական է, ոչ անհավանական</w:t>
            </w:r>
            <w:r w:rsidR="00F53A97" w:rsidRPr="00F82398"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  <w:t xml:space="preserve"> </w:t>
            </w:r>
          </w:p>
          <w:p w14:paraId="1BFA5045" w14:textId="1B6031EC" w:rsidR="00B07FA2" w:rsidRPr="00F82398" w:rsidRDefault="00B07FA2" w:rsidP="00C45F85">
            <w:pPr>
              <w:spacing w:after="0" w:line="240" w:lineRule="auto"/>
              <w:jc w:val="right"/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</w:pPr>
            <w:r w:rsidRPr="00F82398"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  <w:t>Neither likely nor unlikely</w:t>
            </w:r>
          </w:p>
        </w:tc>
        <w:tc>
          <w:tcPr>
            <w:tcW w:w="1377" w:type="dxa"/>
            <w:shd w:val="clear" w:color="auto" w:fill="D9E2F3" w:themeFill="accent1" w:themeFillTint="33"/>
            <w:vAlign w:val="center"/>
            <w:hideMark/>
          </w:tcPr>
          <w:p w14:paraId="6CE62C4C" w14:textId="5467F895" w:rsidR="00B07FA2" w:rsidRPr="00FB53B8" w:rsidRDefault="00B07FA2" w:rsidP="00C45F85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FB53B8">
              <w:rPr>
                <w:rFonts w:eastAsia="Times New Roman" w:cs="Tahoma"/>
                <w:color w:val="000000"/>
                <w:sz w:val="14"/>
                <w:szCs w:val="14"/>
              </w:rPr>
              <w:t xml:space="preserve">4. 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  <w:lang w:val="hy-AM"/>
              </w:rPr>
              <w:t>Հավանական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</w:rPr>
              <w:t xml:space="preserve"> 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  <w:lang w:val="hy-AM"/>
              </w:rPr>
              <w:t>է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</w:rPr>
              <w:t xml:space="preserve"> Likely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  <w:hideMark/>
          </w:tcPr>
          <w:p w14:paraId="553E5984" w14:textId="33B861C4" w:rsidR="00B07FA2" w:rsidRPr="00FB53B8" w:rsidRDefault="00B07FA2" w:rsidP="00C45F85">
            <w:pPr>
              <w:spacing w:after="0" w:line="240" w:lineRule="auto"/>
              <w:jc w:val="right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FB53B8">
              <w:rPr>
                <w:rFonts w:eastAsia="Times New Roman" w:cs="Tahoma"/>
                <w:color w:val="000000"/>
                <w:sz w:val="14"/>
                <w:szCs w:val="14"/>
              </w:rPr>
              <w:t xml:space="preserve">5. 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  <w:lang w:val="hy-AM"/>
              </w:rPr>
              <w:t>Շատ է հավանական</w:t>
            </w:r>
            <w:r w:rsidRPr="00FB53B8">
              <w:rPr>
                <w:rFonts w:eastAsia="Times New Roman" w:cs="Tahoma"/>
                <w:color w:val="000000"/>
                <w:sz w:val="14"/>
                <w:szCs w:val="14"/>
              </w:rPr>
              <w:t xml:space="preserve"> Very likely</w:t>
            </w:r>
          </w:p>
        </w:tc>
      </w:tr>
      <w:tr w:rsidR="00C406FD" w:rsidRPr="00FB53B8" w14:paraId="7700CC24" w14:textId="77777777" w:rsidTr="001119E7">
        <w:trPr>
          <w:trHeight w:val="210"/>
        </w:trPr>
        <w:tc>
          <w:tcPr>
            <w:tcW w:w="2835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2DA2783E" w14:textId="1A1AF49D" w:rsidR="00B07FA2" w:rsidRPr="00F67D02" w:rsidRDefault="00B07FA2" w:rsidP="0093627C">
            <w:pPr>
              <w:spacing w:after="0" w:line="240" w:lineRule="auto"/>
              <w:rPr>
                <w:rFonts w:eastAsia="Times New Roman" w:cs="Tahoma"/>
                <w:color w:val="2F5496" w:themeColor="accent1" w:themeShade="BF"/>
                <w:sz w:val="14"/>
                <w:szCs w:val="14"/>
              </w:rPr>
            </w:pPr>
            <w:r w:rsidRPr="00F67D02">
              <w:rPr>
                <w:rFonts w:eastAsia="Times New Roman" w:cs="Tahoma"/>
                <w:color w:val="2F5496" w:themeColor="accent1" w:themeShade="BF"/>
                <w:sz w:val="14"/>
                <w:szCs w:val="14"/>
                <w:lang w:val="hy-AM"/>
              </w:rPr>
              <w:t>Ուսանողներ</w:t>
            </w:r>
            <w:r w:rsidRPr="00F67D02">
              <w:rPr>
                <w:rFonts w:eastAsia="Times New Roman" w:cs="Tahoma"/>
                <w:color w:val="2F5496" w:themeColor="accent1" w:themeShade="BF"/>
                <w:sz w:val="14"/>
                <w:szCs w:val="14"/>
              </w:rPr>
              <w:t xml:space="preserve"> </w:t>
            </w:r>
            <w:r w:rsidR="00F53A97" w:rsidRPr="00F67D02">
              <w:rPr>
                <w:rFonts w:eastAsia="Times New Roman" w:cs="Tahoma"/>
                <w:color w:val="2F5496" w:themeColor="accent1" w:themeShade="BF"/>
                <w:sz w:val="14"/>
                <w:szCs w:val="14"/>
              </w:rPr>
              <w:t>●</w:t>
            </w:r>
            <w:r w:rsidRPr="00F67D02">
              <w:rPr>
                <w:rFonts w:eastAsia="Times New Roman" w:cs="Tahoma"/>
                <w:color w:val="2F5496" w:themeColor="accent1" w:themeShade="BF"/>
                <w:sz w:val="14"/>
                <w:szCs w:val="14"/>
              </w:rPr>
              <w:t xml:space="preserve"> Students</w:t>
            </w:r>
          </w:p>
        </w:tc>
        <w:tc>
          <w:tcPr>
            <w:tcW w:w="1418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4CEBB385" w14:textId="14E75765" w:rsidR="00B07FA2" w:rsidRPr="00FB53B8" w:rsidRDefault="00260F48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0952DCB9" w14:textId="346209D4" w:rsidR="00B07FA2" w:rsidRPr="00FB53B8" w:rsidRDefault="00260F48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41" w:type="dxa"/>
            <w:tcBorders>
              <w:bottom w:val="single" w:sz="4" w:space="0" w:color="D9E2F3" w:themeColor="accent1" w:themeTint="33"/>
            </w:tcBorders>
            <w:shd w:val="thinDiagStripe" w:color="D9E2F3" w:themeColor="accent1" w:themeTint="33" w:fill="auto"/>
            <w:noWrap/>
            <w:vAlign w:val="center"/>
          </w:tcPr>
          <w:p w14:paraId="4AEA4BCB" w14:textId="5041B394" w:rsidR="00B07FA2" w:rsidRPr="00F82398" w:rsidRDefault="00260F48" w:rsidP="00B72B22">
            <w:pPr>
              <w:spacing w:after="0" w:line="240" w:lineRule="auto"/>
              <w:jc w:val="center"/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</w:pPr>
            <w:r w:rsidRPr="00F82398"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  <w:t>63</w:t>
            </w:r>
          </w:p>
        </w:tc>
        <w:tc>
          <w:tcPr>
            <w:tcW w:w="1377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196A997E" w14:textId="3BE35F23" w:rsidR="00B07FA2" w:rsidRPr="00FB53B8" w:rsidRDefault="00260F48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134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298F3C15" w14:textId="22E82711" w:rsidR="00B07FA2" w:rsidRPr="00FB53B8" w:rsidRDefault="00260F48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18</w:t>
            </w:r>
            <w:r w:rsidR="004025A2">
              <w:rPr>
                <w:rFonts w:eastAsia="Times New Roman" w:cs="Tahoma"/>
                <w:color w:val="000000"/>
                <w:sz w:val="14"/>
                <w:szCs w:val="14"/>
              </w:rPr>
              <w:t>4</w:t>
            </w:r>
          </w:p>
        </w:tc>
      </w:tr>
      <w:tr w:rsidR="00C406FD" w:rsidRPr="00FB53B8" w14:paraId="425F14D5" w14:textId="77777777" w:rsidTr="001119E7">
        <w:trPr>
          <w:trHeight w:val="210"/>
        </w:trPr>
        <w:tc>
          <w:tcPr>
            <w:tcW w:w="28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74A46B19" w14:textId="4B9D1D75" w:rsidR="00B07FA2" w:rsidRPr="00FB53B8" w:rsidRDefault="00B07FA2" w:rsidP="0093627C">
            <w:pPr>
              <w:spacing w:after="0" w:line="240" w:lineRule="auto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F67D02">
              <w:rPr>
                <w:rFonts w:eastAsia="Times New Roman" w:cs="Tahoma"/>
                <w:color w:val="ED7D31" w:themeColor="accent2"/>
                <w:sz w:val="14"/>
                <w:szCs w:val="14"/>
                <w:lang w:val="hy-AM"/>
              </w:rPr>
              <w:t>Շրջանավարտներ</w:t>
            </w:r>
            <w:r w:rsidRPr="00F67D02">
              <w:rPr>
                <w:rFonts w:eastAsia="Times New Roman" w:cs="Tahoma"/>
                <w:color w:val="ED7D31" w:themeColor="accent2"/>
                <w:sz w:val="14"/>
                <w:szCs w:val="14"/>
              </w:rPr>
              <w:t xml:space="preserve"> </w:t>
            </w:r>
            <w:r w:rsidR="00F53A97" w:rsidRPr="00F67D02">
              <w:rPr>
                <w:rFonts w:eastAsia="Times New Roman" w:cs="Tahoma"/>
                <w:color w:val="ED7D31" w:themeColor="accent2"/>
                <w:sz w:val="14"/>
                <w:szCs w:val="14"/>
              </w:rPr>
              <w:t>●</w:t>
            </w:r>
            <w:r w:rsidRPr="00F67D02">
              <w:rPr>
                <w:rFonts w:eastAsia="Times New Roman" w:cs="Tahoma"/>
                <w:color w:val="ED7D31" w:themeColor="accent2"/>
                <w:sz w:val="14"/>
                <w:szCs w:val="14"/>
              </w:rPr>
              <w:t xml:space="preserve"> Graduates</w:t>
            </w:r>
          </w:p>
        </w:tc>
        <w:tc>
          <w:tcPr>
            <w:tcW w:w="141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62AD9F2F" w14:textId="57B3B012" w:rsidR="00B07FA2" w:rsidRPr="00FB53B8" w:rsidRDefault="00E53B3C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E53B3C">
              <w:rPr>
                <w:rFonts w:eastAsia="Times New Roman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39C0A6B7" w14:textId="4D3D4C56" w:rsidR="00B07FA2" w:rsidRPr="00FB53B8" w:rsidRDefault="00E53B3C" w:rsidP="0093627C">
            <w:pPr>
              <w:spacing w:after="0" w:line="240" w:lineRule="auto"/>
              <w:jc w:val="center"/>
              <w:rPr>
                <w:rFonts w:eastAsia="Times New Roman" w:cs="Tahoma"/>
                <w:sz w:val="14"/>
                <w:szCs w:val="14"/>
              </w:rPr>
            </w:pPr>
            <w:r w:rsidRPr="00E53B3C">
              <w:rPr>
                <w:rFonts w:eastAsia="Times New Roman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thinDiagStripe" w:color="D9E2F3" w:themeColor="accent1" w:themeTint="33" w:fill="auto"/>
            <w:noWrap/>
            <w:vAlign w:val="center"/>
          </w:tcPr>
          <w:p w14:paraId="2EC88FC0" w14:textId="5F2492C4" w:rsidR="00B07FA2" w:rsidRPr="00F82398" w:rsidRDefault="00E53B3C" w:rsidP="00B72B22">
            <w:pPr>
              <w:spacing w:after="0" w:line="240" w:lineRule="auto"/>
              <w:jc w:val="center"/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</w:pPr>
            <w:r w:rsidRPr="00F82398"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  <w:t>10</w:t>
            </w:r>
          </w:p>
        </w:tc>
        <w:tc>
          <w:tcPr>
            <w:tcW w:w="1377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5F3F8759" w14:textId="5ECEB47B" w:rsidR="00B07FA2" w:rsidRPr="00FB53B8" w:rsidRDefault="00260F48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23384FEE" w14:textId="399F14A7" w:rsidR="00B07FA2" w:rsidRPr="00FB53B8" w:rsidRDefault="00260F48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3</w:t>
            </w:r>
            <w:r w:rsidR="002B1194">
              <w:rPr>
                <w:rFonts w:eastAsia="Times New Roman" w:cs="Tahoma"/>
                <w:color w:val="000000"/>
                <w:sz w:val="14"/>
                <w:szCs w:val="14"/>
              </w:rPr>
              <w:t>3</w:t>
            </w:r>
          </w:p>
        </w:tc>
      </w:tr>
      <w:tr w:rsidR="00C406FD" w:rsidRPr="00FB53B8" w14:paraId="492B80D6" w14:textId="77777777" w:rsidTr="001119E7">
        <w:trPr>
          <w:trHeight w:val="210"/>
        </w:trPr>
        <w:tc>
          <w:tcPr>
            <w:tcW w:w="28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54AF1222" w14:textId="339F9A86" w:rsidR="00B07FA2" w:rsidRPr="00FB53B8" w:rsidRDefault="009202F2" w:rsidP="0093627C">
            <w:pPr>
              <w:spacing w:after="0" w:line="240" w:lineRule="auto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F67D02">
              <w:rPr>
                <w:rFonts w:eastAsia="Times New Roman" w:cs="Tahoma"/>
                <w:color w:val="808080" w:themeColor="background1" w:themeShade="80"/>
                <w:sz w:val="14"/>
                <w:szCs w:val="14"/>
                <w:lang w:val="hy-AM"/>
              </w:rPr>
              <w:t>Դասավանդողներ</w:t>
            </w:r>
            <w:r w:rsidR="00B07FA2" w:rsidRPr="00F67D02">
              <w:rPr>
                <w:rFonts w:eastAsia="Times New Roman" w:cs="Tahoma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F53A97" w:rsidRPr="00F67D02">
              <w:rPr>
                <w:rFonts w:eastAsia="Times New Roman" w:cs="Tahoma"/>
                <w:color w:val="808080" w:themeColor="background1" w:themeShade="80"/>
                <w:sz w:val="14"/>
                <w:szCs w:val="14"/>
              </w:rPr>
              <w:t>●</w:t>
            </w:r>
            <w:r w:rsidR="00B07FA2" w:rsidRPr="00F67D02">
              <w:rPr>
                <w:rFonts w:eastAsia="Times New Roman" w:cs="Tahoma"/>
                <w:color w:val="808080" w:themeColor="background1" w:themeShade="80"/>
                <w:sz w:val="14"/>
                <w:szCs w:val="14"/>
              </w:rPr>
              <w:t xml:space="preserve"> Professors, lecturers</w:t>
            </w:r>
          </w:p>
        </w:tc>
        <w:tc>
          <w:tcPr>
            <w:tcW w:w="141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5B578BA0" w14:textId="70201931" w:rsidR="00B07FA2" w:rsidRPr="00FB53B8" w:rsidRDefault="00712651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48945AD5" w14:textId="1A7361D7" w:rsidR="00B07FA2" w:rsidRPr="00FB53B8" w:rsidRDefault="00712651" w:rsidP="0093627C">
            <w:pPr>
              <w:spacing w:after="0" w:line="240" w:lineRule="auto"/>
              <w:jc w:val="center"/>
              <w:rPr>
                <w:rFonts w:eastAsia="Times New Roman" w:cs="Tahoma"/>
                <w:sz w:val="14"/>
                <w:szCs w:val="14"/>
              </w:rPr>
            </w:pPr>
            <w:r>
              <w:rPr>
                <w:rFonts w:eastAsia="Times New Roman" w:cs="Tahoma"/>
                <w:sz w:val="14"/>
                <w:szCs w:val="14"/>
              </w:rPr>
              <w:t>0</w:t>
            </w:r>
          </w:p>
        </w:tc>
        <w:tc>
          <w:tcPr>
            <w:tcW w:w="194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thinDiagStripe" w:color="D9E2F3" w:themeColor="accent1" w:themeTint="33" w:fill="auto"/>
            <w:noWrap/>
            <w:vAlign w:val="center"/>
          </w:tcPr>
          <w:p w14:paraId="7E6D71D2" w14:textId="56AF467F" w:rsidR="00B07FA2" w:rsidRPr="00F82398" w:rsidRDefault="0083414B" w:rsidP="00B72B22">
            <w:pPr>
              <w:spacing w:after="0" w:line="240" w:lineRule="auto"/>
              <w:jc w:val="center"/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</w:pPr>
            <w:r w:rsidRPr="00F82398"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  <w:t>5</w:t>
            </w:r>
          </w:p>
        </w:tc>
        <w:tc>
          <w:tcPr>
            <w:tcW w:w="1377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47B47A54" w14:textId="61EBF651" w:rsidR="00B07FA2" w:rsidRPr="00FB53B8" w:rsidRDefault="0083414B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71C5B7DD" w14:textId="4D94A398" w:rsidR="00B07FA2" w:rsidRPr="00FB53B8" w:rsidRDefault="0083414B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39</w:t>
            </w:r>
          </w:p>
        </w:tc>
      </w:tr>
      <w:tr w:rsidR="00C406FD" w:rsidRPr="00FB53B8" w14:paraId="11659C45" w14:textId="77777777" w:rsidTr="001119E7">
        <w:trPr>
          <w:trHeight w:val="210"/>
        </w:trPr>
        <w:tc>
          <w:tcPr>
            <w:tcW w:w="28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24FA6CC8" w14:textId="25AC5952" w:rsidR="00B07FA2" w:rsidRPr="00FB53B8" w:rsidRDefault="00B07FA2" w:rsidP="0093627C">
            <w:pPr>
              <w:spacing w:after="0" w:line="240" w:lineRule="auto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F67D02">
              <w:rPr>
                <w:rFonts w:eastAsia="Times New Roman" w:cs="Tahoma"/>
                <w:color w:val="FFC000" w:themeColor="accent4"/>
                <w:sz w:val="14"/>
                <w:szCs w:val="14"/>
                <w:lang w:val="hy-AM"/>
              </w:rPr>
              <w:t>Վարչական անձնակազմ</w:t>
            </w:r>
            <w:r w:rsidRPr="00F67D02">
              <w:rPr>
                <w:rFonts w:eastAsia="Times New Roman" w:cs="Tahoma"/>
                <w:color w:val="FFC000" w:themeColor="accent4"/>
                <w:sz w:val="14"/>
                <w:szCs w:val="14"/>
              </w:rPr>
              <w:t xml:space="preserve"> </w:t>
            </w:r>
            <w:r w:rsidR="00F53A97" w:rsidRPr="00F67D02">
              <w:rPr>
                <w:rFonts w:eastAsia="Times New Roman" w:cs="Tahoma"/>
                <w:color w:val="FFC000" w:themeColor="accent4"/>
                <w:sz w:val="14"/>
                <w:szCs w:val="14"/>
              </w:rPr>
              <w:t>●</w:t>
            </w:r>
            <w:r w:rsidRPr="00F67D02">
              <w:rPr>
                <w:rFonts w:eastAsia="Times New Roman" w:cs="Tahoma"/>
                <w:color w:val="FFC000" w:themeColor="accent4"/>
                <w:sz w:val="14"/>
                <w:szCs w:val="14"/>
              </w:rPr>
              <w:t xml:space="preserve"> Admin staff</w:t>
            </w:r>
          </w:p>
        </w:tc>
        <w:tc>
          <w:tcPr>
            <w:tcW w:w="141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362C02BC" w14:textId="577D4474" w:rsidR="00B07FA2" w:rsidRPr="00FB53B8" w:rsidRDefault="00712651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  <w:hideMark/>
          </w:tcPr>
          <w:p w14:paraId="5171A41D" w14:textId="7BB7FDB0" w:rsidR="00B07FA2" w:rsidRPr="00FB53B8" w:rsidRDefault="00712651" w:rsidP="0093627C">
            <w:pPr>
              <w:spacing w:after="0" w:line="240" w:lineRule="auto"/>
              <w:jc w:val="center"/>
              <w:rPr>
                <w:rFonts w:eastAsia="Times New Roman" w:cs="Tahoma"/>
                <w:sz w:val="14"/>
                <w:szCs w:val="14"/>
              </w:rPr>
            </w:pPr>
            <w:r>
              <w:rPr>
                <w:rFonts w:eastAsia="Times New Roman" w:cs="Tahoma"/>
                <w:sz w:val="14"/>
                <w:szCs w:val="14"/>
              </w:rPr>
              <w:t>0</w:t>
            </w:r>
          </w:p>
        </w:tc>
        <w:tc>
          <w:tcPr>
            <w:tcW w:w="194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thinDiagStripe" w:color="D9E2F3" w:themeColor="accent1" w:themeTint="33" w:fill="auto"/>
            <w:noWrap/>
            <w:vAlign w:val="center"/>
          </w:tcPr>
          <w:p w14:paraId="0FB1C0C2" w14:textId="5C8C4A30" w:rsidR="00B07FA2" w:rsidRPr="00F82398" w:rsidRDefault="00712651" w:rsidP="00B72B22">
            <w:pPr>
              <w:spacing w:after="0" w:line="240" w:lineRule="auto"/>
              <w:jc w:val="center"/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</w:pPr>
            <w:r w:rsidRPr="00F82398"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  <w:t>0</w:t>
            </w:r>
          </w:p>
        </w:tc>
        <w:tc>
          <w:tcPr>
            <w:tcW w:w="1377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313C8C3F" w14:textId="30B45704" w:rsidR="00B07FA2" w:rsidRPr="00FB53B8" w:rsidRDefault="0083414B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7ADD2872" w14:textId="39503FE0" w:rsidR="00B07FA2" w:rsidRPr="00FB53B8" w:rsidRDefault="0083414B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17</w:t>
            </w:r>
          </w:p>
        </w:tc>
      </w:tr>
      <w:tr w:rsidR="0067547C" w:rsidRPr="00FB53B8" w14:paraId="4EA44394" w14:textId="77777777" w:rsidTr="001119E7">
        <w:trPr>
          <w:trHeight w:val="210"/>
        </w:trPr>
        <w:tc>
          <w:tcPr>
            <w:tcW w:w="28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4616F3C8" w14:textId="044F15FE" w:rsidR="0067547C" w:rsidRPr="008A185B" w:rsidRDefault="0083414B" w:rsidP="0093627C">
            <w:pPr>
              <w:spacing w:after="0" w:line="240" w:lineRule="auto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F67D02">
              <w:rPr>
                <w:rFonts w:eastAsia="Times New Roman" w:cs="Tahoma"/>
                <w:color w:val="99CC00"/>
                <w:sz w:val="14"/>
                <w:szCs w:val="14"/>
                <w:lang w:val="hy-AM"/>
              </w:rPr>
              <w:t>Գործատու</w:t>
            </w:r>
            <w:r w:rsidR="008A185B" w:rsidRPr="00F67D02">
              <w:rPr>
                <w:rFonts w:eastAsia="Times New Roman" w:cs="Tahoma"/>
                <w:color w:val="99CC00"/>
                <w:sz w:val="14"/>
                <w:szCs w:val="14"/>
                <w:lang w:val="hy-AM"/>
              </w:rPr>
              <w:t>ներ</w:t>
            </w:r>
            <w:r w:rsidRPr="00F67D02">
              <w:rPr>
                <w:rFonts w:eastAsia="Times New Roman" w:cs="Tahoma"/>
                <w:color w:val="99CC00"/>
                <w:sz w:val="14"/>
                <w:szCs w:val="14"/>
                <w:lang w:val="hy-AM"/>
              </w:rPr>
              <w:t xml:space="preserve"> </w:t>
            </w:r>
            <w:r w:rsidR="000E1DDF" w:rsidRPr="00F67D02">
              <w:rPr>
                <w:rFonts w:eastAsia="Times New Roman" w:cs="Tahoma"/>
                <w:color w:val="99CC00"/>
                <w:sz w:val="14"/>
                <w:szCs w:val="14"/>
              </w:rPr>
              <w:t xml:space="preserve">● </w:t>
            </w:r>
            <w:r w:rsidRPr="00F67D02">
              <w:rPr>
                <w:rFonts w:eastAsia="Times New Roman" w:cs="Tahoma"/>
                <w:color w:val="99CC00"/>
                <w:sz w:val="14"/>
                <w:szCs w:val="14"/>
                <w:lang w:val="hy-AM"/>
              </w:rPr>
              <w:t xml:space="preserve"> </w:t>
            </w:r>
            <w:r w:rsidRPr="00F67D02">
              <w:rPr>
                <w:rFonts w:eastAsia="Times New Roman" w:cs="Tahoma"/>
                <w:color w:val="99CC00"/>
                <w:sz w:val="14"/>
                <w:szCs w:val="14"/>
                <w:lang w:val="en-GB"/>
              </w:rPr>
              <w:t>Employer</w:t>
            </w:r>
            <w:r w:rsidR="008A185B" w:rsidRPr="00F67D02">
              <w:rPr>
                <w:rFonts w:eastAsia="Times New Roman" w:cs="Tahoma"/>
                <w:color w:val="99CC00"/>
                <w:sz w:val="14"/>
                <w:szCs w:val="14"/>
              </w:rPr>
              <w:t>s</w:t>
            </w:r>
          </w:p>
        </w:tc>
        <w:tc>
          <w:tcPr>
            <w:tcW w:w="141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79931F43" w14:textId="0D06FA05" w:rsidR="0067547C" w:rsidRPr="00FB53B8" w:rsidRDefault="00712651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1C2344DA" w14:textId="5FB2387A" w:rsidR="0067547C" w:rsidRPr="00FB53B8" w:rsidRDefault="00712651" w:rsidP="0093627C">
            <w:pPr>
              <w:spacing w:after="0" w:line="240" w:lineRule="auto"/>
              <w:jc w:val="center"/>
              <w:rPr>
                <w:rFonts w:eastAsia="Times New Roman" w:cs="Tahoma"/>
                <w:sz w:val="14"/>
                <w:szCs w:val="14"/>
              </w:rPr>
            </w:pPr>
            <w:r>
              <w:rPr>
                <w:rFonts w:eastAsia="Times New Roman" w:cs="Tahoma"/>
                <w:sz w:val="14"/>
                <w:szCs w:val="14"/>
              </w:rPr>
              <w:t>0</w:t>
            </w:r>
          </w:p>
        </w:tc>
        <w:tc>
          <w:tcPr>
            <w:tcW w:w="194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thinDiagStripe" w:color="D9E2F3" w:themeColor="accent1" w:themeTint="33" w:fill="auto"/>
            <w:noWrap/>
            <w:vAlign w:val="center"/>
          </w:tcPr>
          <w:p w14:paraId="10152E3F" w14:textId="532D9608" w:rsidR="0067547C" w:rsidRPr="00F82398" w:rsidRDefault="00712651" w:rsidP="00B72B22">
            <w:pPr>
              <w:spacing w:after="0" w:line="240" w:lineRule="auto"/>
              <w:jc w:val="center"/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</w:pPr>
            <w:r w:rsidRPr="00F82398">
              <w:rPr>
                <w:rFonts w:eastAsia="Times New Roman" w:cs="Tahoma"/>
                <w:color w:val="7F7F7F" w:themeColor="text1" w:themeTint="80"/>
                <w:sz w:val="14"/>
                <w:szCs w:val="14"/>
              </w:rPr>
              <w:t>0</w:t>
            </w:r>
          </w:p>
        </w:tc>
        <w:tc>
          <w:tcPr>
            <w:tcW w:w="1377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179BF291" w14:textId="01D649D4" w:rsidR="0067547C" w:rsidRPr="00FB53B8" w:rsidRDefault="0083414B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54B569AF" w14:textId="14DB00A4" w:rsidR="0067547C" w:rsidRPr="00FB53B8" w:rsidRDefault="0083414B" w:rsidP="0093627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>
              <w:rPr>
                <w:rFonts w:eastAsia="Times New Roman" w:cs="Tahoma"/>
                <w:color w:val="000000"/>
                <w:sz w:val="14"/>
                <w:szCs w:val="14"/>
              </w:rPr>
              <w:t>5</w:t>
            </w:r>
          </w:p>
        </w:tc>
      </w:tr>
      <w:tr w:rsidR="00F708FE" w:rsidRPr="00FB53B8" w14:paraId="49E02A3C" w14:textId="77777777" w:rsidTr="001119E7">
        <w:trPr>
          <w:trHeight w:val="210"/>
        </w:trPr>
        <w:tc>
          <w:tcPr>
            <w:tcW w:w="28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4289DA6D" w14:textId="2DD2AF8F" w:rsidR="00747F37" w:rsidRPr="00FB53B8" w:rsidRDefault="00747F37" w:rsidP="00A4422B">
            <w:pPr>
              <w:spacing w:after="0" w:line="240" w:lineRule="auto"/>
              <w:jc w:val="right"/>
              <w:rPr>
                <w:rFonts w:eastAsia="Times New Roman" w:cs="Tahoma"/>
                <w:i/>
                <w:iCs/>
                <w:color w:val="000000"/>
                <w:sz w:val="14"/>
                <w:szCs w:val="14"/>
              </w:rPr>
            </w:pPr>
            <w:r w:rsidRPr="00FB53B8">
              <w:rPr>
                <w:rFonts w:eastAsia="Times New Roman" w:cs="Tahoma"/>
                <w:i/>
                <w:iCs/>
                <w:color w:val="000000"/>
                <w:sz w:val="14"/>
                <w:szCs w:val="14"/>
                <w:lang w:val="hy-AM"/>
              </w:rPr>
              <w:t xml:space="preserve">Ընդամենը </w:t>
            </w:r>
            <w:r w:rsidRPr="00FB53B8">
              <w:rPr>
                <w:rFonts w:eastAsia="Times New Roman" w:cs="Tahoma"/>
                <w:i/>
                <w:iCs/>
                <w:color w:val="000000"/>
                <w:sz w:val="14"/>
                <w:szCs w:val="14"/>
              </w:rPr>
              <w:t>- Total:</w:t>
            </w:r>
          </w:p>
        </w:tc>
        <w:tc>
          <w:tcPr>
            <w:tcW w:w="2975" w:type="dxa"/>
            <w:gridSpan w:val="2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71089813" w14:textId="688D9946" w:rsidR="00747F37" w:rsidRPr="00FB53B8" w:rsidRDefault="000317F0" w:rsidP="00A4422B">
            <w:pPr>
              <w:spacing w:after="0" w:line="240" w:lineRule="auto"/>
              <w:jc w:val="center"/>
              <w:rPr>
                <w:rFonts w:eastAsia="Times New Roman" w:cs="Tahoma"/>
                <w:sz w:val="14"/>
                <w:szCs w:val="14"/>
              </w:rPr>
            </w:pPr>
            <w:r w:rsidRPr="004E3907">
              <w:rPr>
                <w:rFonts w:eastAsia="Times New Roman" w:cs="Tahoma"/>
                <w:b/>
                <w:bCs/>
                <w:sz w:val="14"/>
                <w:szCs w:val="14"/>
              </w:rPr>
              <w:t>B</w:t>
            </w:r>
            <w:r>
              <w:rPr>
                <w:rFonts w:eastAsia="Times New Roman" w:cs="Tahoma"/>
                <w:sz w:val="14"/>
                <w:szCs w:val="14"/>
              </w:rPr>
              <w:t>=</w:t>
            </w:r>
            <w:r w:rsidR="00C13B59">
              <w:rPr>
                <w:rFonts w:eastAsia="Times New Roman" w:cs="Tahoma"/>
                <w:sz w:val="14"/>
                <w:szCs w:val="14"/>
              </w:rPr>
              <w:t>12.</w:t>
            </w:r>
            <w:r w:rsidR="005917E5">
              <w:rPr>
                <w:rFonts w:eastAsia="Times New Roman" w:cs="Tahoma"/>
                <w:sz w:val="14"/>
                <w:szCs w:val="14"/>
              </w:rPr>
              <w:t>65</w:t>
            </w:r>
            <w:r w:rsidR="00747F37" w:rsidRPr="00FB53B8">
              <w:rPr>
                <w:rFonts w:eastAsia="Times New Roman" w:cs="Tahoma"/>
                <w:sz w:val="14"/>
                <w:szCs w:val="14"/>
              </w:rPr>
              <w:t>%</w:t>
            </w:r>
            <w:r w:rsidR="00FE29E1">
              <w:rPr>
                <w:rFonts w:eastAsia="Times New Roman" w:cs="Tahoma"/>
                <w:sz w:val="14"/>
                <w:szCs w:val="14"/>
              </w:rPr>
              <w:t xml:space="preserve"> (65)</w:t>
            </w:r>
          </w:p>
        </w:tc>
        <w:tc>
          <w:tcPr>
            <w:tcW w:w="194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thinDiagStripe" w:color="D9E2F3" w:themeColor="accent1" w:themeTint="33" w:fill="auto"/>
            <w:noWrap/>
            <w:vAlign w:val="center"/>
          </w:tcPr>
          <w:p w14:paraId="71BF1779" w14:textId="22AC5B9E" w:rsidR="00747F37" w:rsidRPr="00D04C58" w:rsidRDefault="00BE3EB8" w:rsidP="00A4422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7F7F7F" w:themeColor="text1" w:themeTint="80"/>
                <w:sz w:val="14"/>
                <w:szCs w:val="14"/>
              </w:rPr>
            </w:pPr>
            <w:r w:rsidRPr="00D04C58">
              <w:rPr>
                <w:rFonts w:eastAsia="Times New Roman" w:cs="Tahoma"/>
                <w:b/>
                <w:bCs/>
                <w:color w:val="7F7F7F" w:themeColor="text1" w:themeTint="80"/>
                <w:sz w:val="14"/>
                <w:szCs w:val="14"/>
              </w:rPr>
              <w:t>-</w:t>
            </w:r>
          </w:p>
        </w:tc>
        <w:tc>
          <w:tcPr>
            <w:tcW w:w="2511" w:type="dxa"/>
            <w:gridSpan w:val="2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center"/>
          </w:tcPr>
          <w:p w14:paraId="1C0012DB" w14:textId="3AF89D7D" w:rsidR="00747F37" w:rsidRPr="00FB53B8" w:rsidRDefault="000317F0" w:rsidP="00A4422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4"/>
                <w:szCs w:val="14"/>
              </w:rPr>
            </w:pPr>
            <w:r w:rsidRPr="004E3907">
              <w:rPr>
                <w:rFonts w:eastAsia="Times New Roman" w:cs="Tahoma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eastAsia="Times New Roman" w:cs="Tahoma"/>
                <w:color w:val="000000"/>
                <w:sz w:val="14"/>
                <w:szCs w:val="14"/>
              </w:rPr>
              <w:t>=</w:t>
            </w:r>
            <w:r w:rsidR="004453B9">
              <w:rPr>
                <w:rFonts w:eastAsia="Times New Roman" w:cs="Tahoma"/>
                <w:color w:val="000000"/>
                <w:sz w:val="14"/>
                <w:szCs w:val="14"/>
              </w:rPr>
              <w:t>7</w:t>
            </w:r>
            <w:r w:rsidR="00B21B5A">
              <w:rPr>
                <w:rFonts w:eastAsia="Times New Roman" w:cs="Tahoma"/>
                <w:color w:val="000000"/>
                <w:sz w:val="14"/>
                <w:szCs w:val="14"/>
              </w:rPr>
              <w:t>1</w:t>
            </w:r>
            <w:r w:rsidR="004453B9">
              <w:rPr>
                <w:rFonts w:eastAsia="Times New Roman" w:cs="Tahoma"/>
                <w:color w:val="000000"/>
                <w:sz w:val="14"/>
                <w:szCs w:val="14"/>
              </w:rPr>
              <w:t>.</w:t>
            </w:r>
            <w:r w:rsidR="00B21B5A">
              <w:rPr>
                <w:rFonts w:eastAsia="Times New Roman" w:cs="Tahoma"/>
                <w:color w:val="000000"/>
                <w:sz w:val="14"/>
                <w:szCs w:val="14"/>
              </w:rPr>
              <w:t>18</w:t>
            </w:r>
            <w:r w:rsidR="00747F37" w:rsidRPr="00FB53B8">
              <w:rPr>
                <w:rFonts w:eastAsia="Times New Roman" w:cs="Tahoma"/>
                <w:color w:val="000000"/>
                <w:sz w:val="14"/>
                <w:szCs w:val="14"/>
              </w:rPr>
              <w:t>%</w:t>
            </w:r>
            <w:r w:rsidR="00FE29E1">
              <w:rPr>
                <w:rFonts w:eastAsia="Times New Roman" w:cs="Tahoma"/>
                <w:color w:val="000000"/>
                <w:sz w:val="14"/>
                <w:szCs w:val="14"/>
              </w:rPr>
              <w:t xml:space="preserve"> (37</w:t>
            </w:r>
            <w:r w:rsidR="00662430">
              <w:rPr>
                <w:rFonts w:eastAsia="Times New Roman" w:cs="Tahoma"/>
                <w:color w:val="000000"/>
                <w:sz w:val="14"/>
                <w:szCs w:val="14"/>
              </w:rPr>
              <w:t>1</w:t>
            </w:r>
            <w:r w:rsidR="00FE29E1">
              <w:rPr>
                <w:rFonts w:eastAsia="Times New Roman" w:cs="Tahoma"/>
                <w:color w:val="000000"/>
                <w:sz w:val="14"/>
                <w:szCs w:val="14"/>
              </w:rPr>
              <w:t>)</w:t>
            </w:r>
          </w:p>
        </w:tc>
      </w:tr>
    </w:tbl>
    <w:p w14:paraId="3E62911F" w14:textId="4F5438A1" w:rsidR="00484EC0" w:rsidRDefault="00484EC0" w:rsidP="00EB16A9">
      <w:pPr>
        <w:spacing w:after="0"/>
        <w:rPr>
          <w:lang w:val="hy-AM"/>
        </w:rPr>
      </w:pPr>
    </w:p>
    <w:p w14:paraId="118C6C1A" w14:textId="3525FEE0" w:rsidR="00D5592D" w:rsidRDefault="002A261B">
      <w:pPr>
        <w:rPr>
          <w:lang w:val="hy-AM"/>
        </w:rPr>
      </w:pPr>
      <w:r>
        <w:rPr>
          <w:noProof/>
        </w:rPr>
        <w:drawing>
          <wp:inline distT="0" distB="0" distL="0" distR="0" wp14:anchorId="0DAFB9E9" wp14:editId="79567357">
            <wp:extent cx="6438900" cy="1690255"/>
            <wp:effectExtent l="0" t="0" r="0" b="571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8A1968A-46B2-B518-DC35-EC509F30B4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33"/>
      </w:tblGrid>
      <w:tr w:rsidR="001E5537" w14:paraId="7056F8FC" w14:textId="77777777" w:rsidTr="00E73CBF">
        <w:tc>
          <w:tcPr>
            <w:tcW w:w="5529" w:type="dxa"/>
          </w:tcPr>
          <w:p w14:paraId="18AD884F" w14:textId="218186CA" w:rsidR="001E5537" w:rsidRDefault="001E5537" w:rsidP="008A402D">
            <w:pPr>
              <w:rPr>
                <w:lang w:val="hy-AM"/>
              </w:rPr>
            </w:pPr>
            <w:r>
              <w:rPr>
                <w:lang w:val="hy-AM"/>
              </w:rPr>
              <w:lastRenderedPageBreak/>
              <w:t>Դ</w:t>
            </w:r>
            <w:r w:rsidRPr="00DF0B20">
              <w:rPr>
                <w:lang w:val="hy-AM"/>
              </w:rPr>
              <w:t xml:space="preserve">եռևս բարձր </w:t>
            </w:r>
            <w:r>
              <w:rPr>
                <w:lang w:val="hy-AM"/>
              </w:rPr>
              <w:t>մնալով</w:t>
            </w:r>
            <w:r w:rsidRPr="00DF0B20">
              <w:rPr>
                <w:lang w:val="hy-AM"/>
              </w:rPr>
              <w:t xml:space="preserve"> կրթության ոլորտի </w:t>
            </w:r>
            <w:proofErr w:type="spellStart"/>
            <w:r w:rsidRPr="00DF0B20">
              <w:rPr>
                <w:lang w:val="hy-AM"/>
              </w:rPr>
              <w:t>միջինից</w:t>
            </w:r>
            <w:proofErr w:type="spellEnd"/>
            <w:r>
              <w:rPr>
                <w:lang w:val="hy-AM"/>
              </w:rPr>
              <w:t>՝</w:t>
            </w:r>
            <w:r w:rsidRPr="00DF0B20">
              <w:rPr>
                <w:lang w:val="hy-AM"/>
              </w:rPr>
              <w:t xml:space="preserve"> այս </w:t>
            </w:r>
            <w:proofErr w:type="spellStart"/>
            <w:r w:rsidRPr="00DF0B20">
              <w:rPr>
                <w:lang w:val="hy-AM"/>
              </w:rPr>
              <w:t>տա</w:t>
            </w:r>
            <w:r>
              <w:rPr>
                <w:lang w:val="hy-AM"/>
              </w:rPr>
              <w:t>վա</w:t>
            </w:r>
            <w:proofErr w:type="spellEnd"/>
            <w:r w:rsidRPr="00DF0B20">
              <w:rPr>
                <w:lang w:val="hy-AM"/>
              </w:rPr>
              <w:t xml:space="preserve"> NPS-ը նախորդ տարեկան հ</w:t>
            </w:r>
            <w:r>
              <w:rPr>
                <w:lang w:val="hy-AM"/>
              </w:rPr>
              <w:t>արցմ</w:t>
            </w:r>
            <w:r w:rsidRPr="00DF0B20">
              <w:rPr>
                <w:lang w:val="hy-AM"/>
              </w:rPr>
              <w:t xml:space="preserve">ան համեմատ </w:t>
            </w:r>
            <w:r w:rsidRPr="001C0D70">
              <w:rPr>
                <w:color w:val="FF0000"/>
                <w:lang w:val="hy-AM"/>
              </w:rPr>
              <w:t>նվազել է 7,7%-ով</w:t>
            </w:r>
            <w:r w:rsidRPr="00DF0B20">
              <w:rPr>
                <w:lang w:val="hy-AM"/>
              </w:rPr>
              <w:t>, մասամբ այն պատճառով, որ հարցվ</w:t>
            </w:r>
            <w:r>
              <w:rPr>
                <w:lang w:val="hy-AM"/>
              </w:rPr>
              <w:t>ող</w:t>
            </w:r>
            <w:r w:rsidRPr="00DF0B20">
              <w:rPr>
                <w:lang w:val="hy-AM"/>
              </w:rPr>
              <w:t xml:space="preserve">ների թիվն այս տարի գրեթե </w:t>
            </w:r>
            <w:proofErr w:type="spellStart"/>
            <w:r w:rsidRPr="00DF0B20">
              <w:rPr>
                <w:lang w:val="hy-AM"/>
              </w:rPr>
              <w:t>եռապատկվել</w:t>
            </w:r>
            <w:proofErr w:type="spellEnd"/>
            <w:r w:rsidRPr="00DF0B20">
              <w:rPr>
                <w:lang w:val="hy-AM"/>
              </w:rPr>
              <w:t xml:space="preserve"> է, ուստի </w:t>
            </w:r>
            <w:proofErr w:type="spellStart"/>
            <w:r w:rsidRPr="00DF0B20">
              <w:rPr>
                <w:lang w:val="hy-AM"/>
              </w:rPr>
              <w:t>ընտրանքը</w:t>
            </w:r>
            <w:proofErr w:type="spellEnd"/>
            <w:r w:rsidRPr="00DF0B20">
              <w:rPr>
                <w:lang w:val="hy-AM"/>
              </w:rPr>
              <w:t xml:space="preserve"> դարձել է ավելի ներկայացուցչական: Քանի որ </w:t>
            </w:r>
            <w:r>
              <w:rPr>
                <w:lang w:val="hy-AM"/>
              </w:rPr>
              <w:t>հանդիման</w:t>
            </w:r>
            <w:r w:rsidRPr="00DF0B20">
              <w:rPr>
                <w:lang w:val="hy-AM"/>
              </w:rPr>
              <w:t>ողները միայն ուսանողներն ու նախկին ուսանողներն են, առաջարկ</w:t>
            </w:r>
            <w:r>
              <w:rPr>
                <w:lang w:val="hy-AM"/>
              </w:rPr>
              <w:t>վում է</w:t>
            </w:r>
            <w:r w:rsidRPr="00DF0B20">
              <w:rPr>
                <w:lang w:val="hy-AM"/>
              </w:rPr>
              <w:t xml:space="preserve"> ամրապնդել ուսանողակենտրոն մոտեցումը: Այս հարցն ուղղակիորեն կապված է </w:t>
            </w:r>
            <w:r>
              <w:rPr>
                <w:lang w:val="hy-AM"/>
              </w:rPr>
              <w:t>ԵՀՀ</w:t>
            </w:r>
            <w:r w:rsidRPr="00DF0B20">
              <w:rPr>
                <w:lang w:val="hy-AM"/>
              </w:rPr>
              <w:t>-ի շրջանավարտների հարցման առաջին հարցի հետ</w:t>
            </w:r>
            <w:r>
              <w:rPr>
                <w:lang w:val="hy-AM"/>
              </w:rPr>
              <w:t xml:space="preserve">։ Խնդրի լուծումն </w:t>
            </w:r>
            <w:r w:rsidR="00DE5F3B">
              <w:rPr>
                <w:lang w:val="hy-AM"/>
              </w:rPr>
              <w:t>դիտար</w:t>
            </w:r>
            <w:r>
              <w:rPr>
                <w:lang w:val="hy-AM"/>
              </w:rPr>
              <w:t xml:space="preserve">կվում է </w:t>
            </w:r>
            <w:r w:rsidR="00DE5F3B" w:rsidRPr="00DE5F3B">
              <w:rPr>
                <w:lang w:val="hy-AM"/>
              </w:rPr>
              <w:t>շրջանավարտների հարցման</w:t>
            </w:r>
            <w:r>
              <w:rPr>
                <w:lang w:val="hy-AM"/>
              </w:rPr>
              <w:t xml:space="preserve"> հաշվետվության մեջ։</w:t>
            </w:r>
          </w:p>
          <w:p w14:paraId="043EDC92" w14:textId="77777777" w:rsidR="001E5537" w:rsidRDefault="001E5537" w:rsidP="00271EAF">
            <w:pPr>
              <w:ind w:right="318"/>
              <w:rPr>
                <w:color w:val="0070C0"/>
                <w:lang w:val="hy-AM"/>
              </w:rPr>
            </w:pPr>
            <w:r w:rsidRPr="007F2DD9">
              <w:rPr>
                <w:i/>
                <w:iCs/>
                <w:color w:val="70AD47" w:themeColor="accent6"/>
                <w:sz w:val="46"/>
                <w:szCs w:val="46"/>
                <w:lang w:val="hy-AM"/>
              </w:rPr>
              <w:t>«</w:t>
            </w:r>
            <w:r w:rsidRPr="002912D0">
              <w:rPr>
                <w:i/>
                <w:iCs/>
                <w:color w:val="0070C0"/>
                <w:lang w:val="hy-AM"/>
              </w:rPr>
              <w:t>Այստեղ աշխատում են որակյալ մասնագետներ և իրենց գործին նվի</w:t>
            </w:r>
            <w:r>
              <w:rPr>
                <w:i/>
                <w:iCs/>
                <w:color w:val="0070C0"/>
                <w:lang w:val="hy-AM"/>
              </w:rPr>
              <w:t>րված</w:t>
            </w:r>
            <w:r w:rsidRPr="002912D0">
              <w:rPr>
                <w:i/>
                <w:iCs/>
                <w:color w:val="0070C0"/>
                <w:lang w:val="hy-AM"/>
              </w:rPr>
              <w:t xml:space="preserve"> մարդիկ</w:t>
            </w:r>
            <w:r w:rsidRPr="00DF0015">
              <w:rPr>
                <w:i/>
                <w:iCs/>
                <w:color w:val="0070C0"/>
                <w:lang w:val="hy-AM"/>
              </w:rPr>
              <w:t>։</w:t>
            </w:r>
            <w:r>
              <w:rPr>
                <w:color w:val="0070C0"/>
                <w:lang w:val="hy-AM"/>
              </w:rPr>
              <w:t xml:space="preserve"> </w:t>
            </w:r>
          </w:p>
          <w:p w14:paraId="3E7A31EB" w14:textId="0F4FD22E" w:rsidR="001E5537" w:rsidRDefault="001E5537" w:rsidP="00271EAF">
            <w:pPr>
              <w:ind w:right="318"/>
              <w:jc w:val="right"/>
              <w:rPr>
                <w:lang w:val="hy-AM"/>
              </w:rPr>
            </w:pPr>
            <w:r>
              <w:rPr>
                <w:color w:val="0070C0"/>
                <w:lang w:val="hy-AM"/>
              </w:rPr>
              <w:t>Շրջանավարտ</w:t>
            </w:r>
          </w:p>
        </w:tc>
        <w:tc>
          <w:tcPr>
            <w:tcW w:w="4433" w:type="dxa"/>
          </w:tcPr>
          <w:p w14:paraId="666B0455" w14:textId="46149D7D" w:rsidR="001E5537" w:rsidRDefault="001E5537" w:rsidP="001E5537">
            <w:pPr>
              <w:rPr>
                <w:lang w:val="en-GB"/>
              </w:rPr>
            </w:pPr>
            <w:proofErr w:type="spellStart"/>
            <w:r w:rsidRPr="00DF0B20">
              <w:rPr>
                <w:lang w:val="hy-AM"/>
              </w:rPr>
              <w:t>Although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still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above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the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industry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average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for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education</w:t>
            </w:r>
            <w:proofErr w:type="spellEnd"/>
            <w:r>
              <w:rPr>
                <w:rStyle w:val="FootnoteReference"/>
                <w:lang w:val="en-GB"/>
              </w:rPr>
              <w:footnoteReference w:id="4"/>
            </w:r>
            <w:r w:rsidRPr="00DF0B20">
              <w:rPr>
                <w:lang w:val="hy-AM"/>
              </w:rPr>
              <w:t xml:space="preserve">, </w:t>
            </w:r>
            <w:proofErr w:type="spellStart"/>
            <w:r w:rsidRPr="00DF0B20">
              <w:rPr>
                <w:lang w:val="hy-AM"/>
              </w:rPr>
              <w:t>this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year</w:t>
            </w:r>
            <w:proofErr w:type="spellEnd"/>
            <w:r w:rsidRPr="00DF0B20">
              <w:rPr>
                <w:lang w:val="hy-AM"/>
              </w:rPr>
              <w:t xml:space="preserve">, NPS </w:t>
            </w:r>
            <w:proofErr w:type="spellStart"/>
            <w:r w:rsidRPr="001C0D70">
              <w:rPr>
                <w:color w:val="FF0000"/>
                <w:lang w:val="hy-AM"/>
              </w:rPr>
              <w:t>decreased</w:t>
            </w:r>
            <w:proofErr w:type="spellEnd"/>
            <w:r w:rsidRPr="001C0D70">
              <w:rPr>
                <w:color w:val="FF0000"/>
                <w:lang w:val="hy-AM"/>
              </w:rPr>
              <w:t xml:space="preserve"> </w:t>
            </w:r>
            <w:proofErr w:type="spellStart"/>
            <w:r w:rsidRPr="001C0D70">
              <w:rPr>
                <w:color w:val="FF0000"/>
                <w:lang w:val="hy-AM"/>
              </w:rPr>
              <w:t>by</w:t>
            </w:r>
            <w:proofErr w:type="spellEnd"/>
            <w:r w:rsidRPr="001C0D70">
              <w:rPr>
                <w:color w:val="FF0000"/>
                <w:lang w:val="hy-AM"/>
              </w:rPr>
              <w:t xml:space="preserve"> 7.7% </w:t>
            </w:r>
            <w:proofErr w:type="spellStart"/>
            <w:r w:rsidRPr="00DF0B20">
              <w:rPr>
                <w:lang w:val="hy-AM"/>
              </w:rPr>
              <w:t>compared</w:t>
            </w:r>
            <w:proofErr w:type="spellEnd"/>
            <w:r w:rsidRPr="00DF0B20">
              <w:rPr>
                <w:lang w:val="hy-AM"/>
              </w:rPr>
              <w:t xml:space="preserve"> to </w:t>
            </w:r>
            <w:proofErr w:type="spellStart"/>
            <w:r w:rsidRPr="00DF0B20">
              <w:rPr>
                <w:lang w:val="hy-AM"/>
              </w:rPr>
              <w:t>the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previous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annual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survey</w:t>
            </w:r>
            <w:proofErr w:type="spellEnd"/>
            <w:r w:rsidRPr="00DF0B20">
              <w:rPr>
                <w:lang w:val="hy-AM"/>
              </w:rPr>
              <w:t xml:space="preserve">, </w:t>
            </w:r>
            <w:proofErr w:type="spellStart"/>
            <w:r w:rsidRPr="00DF0B20">
              <w:rPr>
                <w:lang w:val="hy-AM"/>
              </w:rPr>
              <w:t>partially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because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the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number</w:t>
            </w:r>
            <w:proofErr w:type="spellEnd"/>
            <w:r w:rsidRPr="00DF0B20">
              <w:rPr>
                <w:lang w:val="hy-AM"/>
              </w:rPr>
              <w:t xml:space="preserve"> of </w:t>
            </w:r>
            <w:proofErr w:type="spellStart"/>
            <w:r w:rsidRPr="00DF0B20">
              <w:rPr>
                <w:lang w:val="hy-AM"/>
              </w:rPr>
              <w:t>respondents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almost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tripled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this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year</w:t>
            </w:r>
            <w:proofErr w:type="spellEnd"/>
            <w:r w:rsidRPr="00DF0B20">
              <w:rPr>
                <w:lang w:val="hy-AM"/>
              </w:rPr>
              <w:t xml:space="preserve">, </w:t>
            </w:r>
            <w:proofErr w:type="spellStart"/>
            <w:r w:rsidRPr="00DF0B20">
              <w:rPr>
                <w:lang w:val="hy-AM"/>
              </w:rPr>
              <w:t>so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the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sample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became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more</w:t>
            </w:r>
            <w:proofErr w:type="spellEnd"/>
            <w:r w:rsidRPr="00DF0B20">
              <w:rPr>
                <w:lang w:val="hy-AM"/>
              </w:rPr>
              <w:t xml:space="preserve"> </w:t>
            </w:r>
            <w:proofErr w:type="spellStart"/>
            <w:r w:rsidRPr="00DF0B20">
              <w:rPr>
                <w:lang w:val="hy-AM"/>
              </w:rPr>
              <w:t>representative</w:t>
            </w:r>
            <w:proofErr w:type="spellEnd"/>
            <w:r w:rsidRPr="00DF0B20">
              <w:rPr>
                <w:lang w:val="hy-AM"/>
              </w:rPr>
              <w:t xml:space="preserve">. </w:t>
            </w:r>
            <w:r>
              <w:rPr>
                <w:lang w:val="en-GB"/>
              </w:rPr>
              <w:t>As detractors are only students and former students, strengthening the student-centred approach should be recommended. This question is directly related to the first question of the YHU graduate survey.</w:t>
            </w:r>
            <w:r w:rsidRPr="0070496B">
              <w:rPr>
                <w:lang w:val="en-GB"/>
              </w:rPr>
              <w:t xml:space="preserve"> </w:t>
            </w:r>
            <w:r>
              <w:t>T</w:t>
            </w:r>
            <w:r w:rsidRPr="00D01C6F">
              <w:rPr>
                <w:lang w:val="en-GB"/>
              </w:rPr>
              <w:t xml:space="preserve">he report </w:t>
            </w:r>
            <w:r w:rsidR="003C3479">
              <w:rPr>
                <w:lang w:val="en-GB"/>
              </w:rPr>
              <w:t>on that survey addresses</w:t>
            </w:r>
            <w:r w:rsidRPr="00D01C6F">
              <w:rPr>
                <w:lang w:val="en-GB"/>
              </w:rPr>
              <w:t xml:space="preserve"> the </w:t>
            </w:r>
            <w:r w:rsidR="003C3479">
              <w:rPr>
                <w:lang w:val="en-GB"/>
              </w:rPr>
              <w:t>issue</w:t>
            </w:r>
            <w:r w:rsidRPr="00D01C6F">
              <w:rPr>
                <w:lang w:val="en-GB"/>
              </w:rPr>
              <w:t>.</w:t>
            </w:r>
          </w:p>
          <w:p w14:paraId="37480F19" w14:textId="6C0E8132" w:rsidR="001E5537" w:rsidRDefault="009B53AD" w:rsidP="001E5537">
            <w:pPr>
              <w:keepNext/>
              <w:rPr>
                <w:i/>
                <w:iCs/>
                <w:color w:val="0070C0"/>
              </w:rPr>
            </w:pPr>
            <w:r>
              <w:rPr>
                <w:i/>
                <w:iCs/>
                <w:color w:val="70AD47" w:themeColor="accent6"/>
                <w:sz w:val="46"/>
                <w:szCs w:val="46"/>
              </w:rPr>
              <w:t>“</w:t>
            </w:r>
            <w:r w:rsidR="001E5537">
              <w:rPr>
                <w:i/>
                <w:iCs/>
                <w:color w:val="0070C0"/>
              </w:rPr>
              <w:t>High quality specialists and people devoted to their job work here.</w:t>
            </w:r>
          </w:p>
          <w:p w14:paraId="722C1A90" w14:textId="53D897E5" w:rsidR="001E5537" w:rsidRPr="00D5666B" w:rsidRDefault="001E5537" w:rsidP="001E5537">
            <w:pPr>
              <w:keepNext/>
              <w:ind w:right="501"/>
              <w:jc w:val="right"/>
              <w:rPr>
                <w:rFonts w:cs="Tahoma"/>
                <w:i/>
                <w:iCs/>
                <w:color w:val="0070C0"/>
              </w:rPr>
            </w:pPr>
            <w:r>
              <w:rPr>
                <w:color w:val="0070C0"/>
              </w:rPr>
              <w:t>Graduate</w:t>
            </w:r>
          </w:p>
          <w:p w14:paraId="70D9D896" w14:textId="77777777" w:rsidR="001E5537" w:rsidRDefault="001E5537" w:rsidP="008A402D">
            <w:pPr>
              <w:rPr>
                <w:lang w:val="hy-AM"/>
              </w:rPr>
            </w:pPr>
          </w:p>
        </w:tc>
      </w:tr>
      <w:tr w:rsidR="00E2746E" w14:paraId="6BBEDF67" w14:textId="77777777" w:rsidTr="00E73CBF">
        <w:tc>
          <w:tcPr>
            <w:tcW w:w="5529" w:type="dxa"/>
          </w:tcPr>
          <w:p w14:paraId="73443082" w14:textId="767B8FB8" w:rsidR="00E2746E" w:rsidRDefault="00E2746E" w:rsidP="008A402D">
            <w:pPr>
              <w:rPr>
                <w:lang w:val="hy-AM"/>
              </w:rPr>
            </w:pPr>
            <w:r>
              <w:rPr>
                <w:b/>
                <w:bCs/>
              </w:rPr>
              <w:t xml:space="preserve">2. </w:t>
            </w:r>
            <w:r w:rsidRPr="00195D11">
              <w:rPr>
                <w:b/>
                <w:bCs/>
                <w:lang w:val="hy-AM"/>
              </w:rPr>
              <w:t>CSAT.</w:t>
            </w:r>
            <w:r w:rsidRPr="00195D11">
              <w:rPr>
                <w:lang w:val="hy-AM"/>
              </w:rPr>
              <w:t xml:space="preserve"> Ինչպե՞ս եք գնահատում «Հայբուսակ» համալսարանում ուսման որակը։</w:t>
            </w:r>
          </w:p>
        </w:tc>
        <w:tc>
          <w:tcPr>
            <w:tcW w:w="4433" w:type="dxa"/>
          </w:tcPr>
          <w:p w14:paraId="44E6E0CA" w14:textId="77777777" w:rsidR="00E2746E" w:rsidRDefault="00E2746E" w:rsidP="001E5537">
            <w:r>
              <w:rPr>
                <w:b/>
                <w:bCs/>
              </w:rPr>
              <w:t xml:space="preserve">2. </w:t>
            </w:r>
            <w:r w:rsidRPr="00195D11">
              <w:rPr>
                <w:b/>
                <w:bCs/>
                <w:lang w:val="hy-AM"/>
              </w:rPr>
              <w:t>CSAT</w:t>
            </w:r>
            <w:r>
              <w:rPr>
                <w:b/>
                <w:bCs/>
              </w:rPr>
              <w:t xml:space="preserve">: </w:t>
            </w:r>
            <w:r>
              <w:t>How do you evaluate the education quality at Haybusak University?</w:t>
            </w:r>
          </w:p>
          <w:p w14:paraId="1A05CE0F" w14:textId="3F1C89FF" w:rsidR="00590FD6" w:rsidRPr="00E2746E" w:rsidRDefault="00590FD6" w:rsidP="001E5537"/>
        </w:tc>
      </w:tr>
    </w:tbl>
    <w:tbl>
      <w:tblPr>
        <w:tblW w:w="10033" w:type="dxa"/>
        <w:tblLook w:val="04A0" w:firstRow="1" w:lastRow="0" w:firstColumn="1" w:lastColumn="0" w:noHBand="0" w:noVBand="1"/>
      </w:tblPr>
      <w:tblGrid>
        <w:gridCol w:w="3828"/>
        <w:gridCol w:w="1273"/>
        <w:gridCol w:w="865"/>
        <w:gridCol w:w="1795"/>
        <w:gridCol w:w="948"/>
        <w:gridCol w:w="1324"/>
      </w:tblGrid>
      <w:tr w:rsidR="009A3E79" w:rsidRPr="009206ED" w14:paraId="1BE89EFD" w14:textId="77777777" w:rsidTr="00DB03FE">
        <w:tc>
          <w:tcPr>
            <w:tcW w:w="3828" w:type="dxa"/>
            <w:shd w:val="clear" w:color="auto" w:fill="D9E2F3" w:themeFill="accent1" w:themeFillTint="33"/>
            <w:noWrap/>
            <w:vAlign w:val="center"/>
            <w:hideMark/>
          </w:tcPr>
          <w:p w14:paraId="5E5D9960" w14:textId="436A5AA1" w:rsidR="009206ED" w:rsidRPr="009206ED" w:rsidRDefault="009206ED" w:rsidP="00C16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Hlk129180670"/>
            <w:r w:rsidRPr="009206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CSAT</w:t>
            </w:r>
            <w:r w:rsidR="00032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728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 w:rsidR="000322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T/</w:t>
            </w:r>
            <w:r w:rsidR="002728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514): </w:t>
            </w:r>
          </w:p>
        </w:tc>
        <w:tc>
          <w:tcPr>
            <w:tcW w:w="1273" w:type="dxa"/>
            <w:shd w:val="clear" w:color="auto" w:fill="D9E2F3" w:themeFill="accent1" w:themeFillTint="33"/>
            <w:vAlign w:val="center"/>
            <w:hideMark/>
          </w:tcPr>
          <w:p w14:paraId="3C4E3769" w14:textId="77777777" w:rsidR="003821E2" w:rsidRDefault="00AC2860" w:rsidP="00C1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744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 xml:space="preserve">. </w:t>
            </w:r>
            <w:r w:rsidR="009206ED" w:rsidRPr="00744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 xml:space="preserve">Շատ </w:t>
            </w:r>
            <w:r w:rsidR="003821E2" w:rsidRPr="00744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ցածր</w:t>
            </w:r>
            <w:r w:rsidR="003821E2" w:rsidRPr="009206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47D1DE14" w14:textId="0CF8B541" w:rsidR="009206ED" w:rsidRPr="009206ED" w:rsidRDefault="003821E2" w:rsidP="00C1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DA53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r w:rsidR="009206ED" w:rsidRPr="009206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865" w:type="dxa"/>
            <w:shd w:val="clear" w:color="auto" w:fill="D9E2F3" w:themeFill="accent1" w:themeFillTint="33"/>
            <w:vAlign w:val="center"/>
            <w:hideMark/>
          </w:tcPr>
          <w:p w14:paraId="4B2E557F" w14:textId="77777777" w:rsidR="00DA538F" w:rsidRDefault="00AC2860" w:rsidP="00382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  <w:r w:rsidRPr="00744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="009206ED" w:rsidRPr="00744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Ցածր</w:t>
            </w:r>
          </w:p>
          <w:p w14:paraId="594175D0" w14:textId="2D525908" w:rsidR="009206ED" w:rsidRPr="009206ED" w:rsidRDefault="00DA538F" w:rsidP="00C1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2. </w:t>
            </w:r>
            <w:r w:rsidR="009206ED" w:rsidRPr="009206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795" w:type="dxa"/>
            <w:shd w:val="clear" w:color="auto" w:fill="D9E2F3" w:themeFill="accent1" w:themeFillTint="33"/>
            <w:vAlign w:val="center"/>
            <w:hideMark/>
          </w:tcPr>
          <w:p w14:paraId="33A3931D" w14:textId="77777777" w:rsidR="00DA538F" w:rsidRDefault="00AC2860" w:rsidP="00C1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3. </w:t>
            </w:r>
            <w:r w:rsidR="009206ED" w:rsidRPr="00744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Ոչ բարձր, ոչ ցածր</w:t>
            </w:r>
          </w:p>
          <w:p w14:paraId="3F519084" w14:textId="55F1ADC0" w:rsidR="009206ED" w:rsidRPr="009206ED" w:rsidRDefault="00DA538F" w:rsidP="00C1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3. </w:t>
            </w:r>
            <w:r w:rsidR="009206ED" w:rsidRPr="009206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Neither high nor low</w:t>
            </w:r>
          </w:p>
        </w:tc>
        <w:tc>
          <w:tcPr>
            <w:tcW w:w="948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  <w:hideMark/>
          </w:tcPr>
          <w:p w14:paraId="16907655" w14:textId="77777777" w:rsidR="00DA538F" w:rsidRDefault="000E7FE0" w:rsidP="00C1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4. </w:t>
            </w:r>
            <w:r w:rsidR="009206ED" w:rsidRPr="00744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Բարձր</w:t>
            </w:r>
          </w:p>
          <w:p w14:paraId="3721FDA2" w14:textId="7A3D23B9" w:rsidR="009206ED" w:rsidRPr="009206ED" w:rsidRDefault="00DA538F" w:rsidP="00C1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4. </w:t>
            </w:r>
            <w:r w:rsidR="009206ED" w:rsidRPr="009206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1324" w:type="dxa"/>
            <w:tcBorders>
              <w:bottom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  <w:hideMark/>
          </w:tcPr>
          <w:p w14:paraId="6E4B7F43" w14:textId="77777777" w:rsidR="00762A59" w:rsidRDefault="000E7FE0" w:rsidP="00C1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5. </w:t>
            </w:r>
            <w:r w:rsidR="009206ED" w:rsidRPr="0074463C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Շատ բարձր</w:t>
            </w:r>
          </w:p>
          <w:p w14:paraId="2E0BF5FC" w14:textId="3B1D4E24" w:rsidR="009206ED" w:rsidRPr="009206ED" w:rsidRDefault="00DA538F" w:rsidP="00C16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5. </w:t>
            </w:r>
            <w:r w:rsidR="009206ED" w:rsidRPr="009206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Very high</w:t>
            </w:r>
          </w:p>
        </w:tc>
      </w:tr>
      <w:tr w:rsidR="003821E2" w:rsidRPr="009206ED" w14:paraId="51E8DFA7" w14:textId="77777777" w:rsidTr="00DB03FE">
        <w:tc>
          <w:tcPr>
            <w:tcW w:w="3828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46280C9A" w14:textId="3E3FC237" w:rsidR="0017067D" w:rsidRPr="009206ED" w:rsidRDefault="0017067D" w:rsidP="0017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049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hy-AM"/>
              </w:rPr>
              <w:t>Ուսանողներ</w:t>
            </w:r>
            <w:r w:rsidRPr="00B31049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</w:rPr>
              <w:t xml:space="preserve"> </w:t>
            </w:r>
            <w:r w:rsidRPr="00B31049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hy-AM"/>
              </w:rPr>
              <w:t>●</w:t>
            </w:r>
            <w:r w:rsidRPr="00B31049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</w:rPr>
              <w:t xml:space="preserve"> Students, 3.96</w:t>
            </w:r>
            <w:r w:rsidR="0013592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</w:rPr>
              <w:t xml:space="preserve"> </w:t>
            </w:r>
            <w:r w:rsidR="00DC4244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</w:rPr>
              <w:t>(</w:t>
            </w:r>
            <w:r w:rsidR="00FA0A09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</w:rPr>
              <w:t>3.43)</w:t>
            </w:r>
            <w:r w:rsidRPr="00B31049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</w:rPr>
              <w:t>↑</w:t>
            </w:r>
          </w:p>
        </w:tc>
        <w:tc>
          <w:tcPr>
            <w:tcW w:w="1273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09784EBC" w14:textId="1FD9DC00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5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67712D27" w14:textId="5287F1CC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95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7BDE2D78" w14:textId="65234CB4" w:rsidR="0017067D" w:rsidRPr="009705EA" w:rsidRDefault="0017067D" w:rsidP="007414E5">
            <w:pPr>
              <w:spacing w:after="0" w:line="240" w:lineRule="auto"/>
              <w:ind w:right="31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48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F8FDFF"/>
            <w:noWrap/>
            <w:vAlign w:val="bottom"/>
            <w:hideMark/>
          </w:tcPr>
          <w:p w14:paraId="158361E9" w14:textId="13497BB4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24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F8FDFF"/>
            <w:noWrap/>
            <w:vAlign w:val="bottom"/>
            <w:hideMark/>
          </w:tcPr>
          <w:p w14:paraId="6C4FF14C" w14:textId="087484BC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</w:tr>
      <w:tr w:rsidR="003821E2" w:rsidRPr="009206ED" w14:paraId="0AC19E21" w14:textId="77777777" w:rsidTr="00DB03FE">
        <w:tc>
          <w:tcPr>
            <w:tcW w:w="382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6DD8EAFF" w14:textId="423453D7" w:rsidR="0017067D" w:rsidRPr="009206ED" w:rsidRDefault="0017067D" w:rsidP="0017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049">
              <w:rPr>
                <w:rFonts w:ascii="Calibri" w:eastAsia="Times New Roman" w:hAnsi="Calibri" w:cs="Calibri"/>
                <w:color w:val="ED7D31" w:themeColor="accent2"/>
                <w:sz w:val="16"/>
                <w:szCs w:val="16"/>
                <w:lang w:val="hy-AM"/>
              </w:rPr>
              <w:t>Շրջանավարտներ</w:t>
            </w:r>
            <w:r w:rsidRPr="00B31049">
              <w:rPr>
                <w:rFonts w:ascii="Calibri" w:eastAsia="Times New Roman" w:hAnsi="Calibri" w:cs="Calibri"/>
                <w:color w:val="ED7D31" w:themeColor="accent2"/>
                <w:sz w:val="16"/>
                <w:szCs w:val="16"/>
              </w:rPr>
              <w:t xml:space="preserve"> </w:t>
            </w:r>
            <w:r w:rsidRPr="00B31049">
              <w:rPr>
                <w:rFonts w:ascii="Calibri" w:eastAsia="Times New Roman" w:hAnsi="Calibri" w:cs="Calibri"/>
                <w:color w:val="ED7D31" w:themeColor="accent2"/>
                <w:sz w:val="16"/>
                <w:szCs w:val="16"/>
                <w:lang w:val="hy-AM"/>
              </w:rPr>
              <w:t>●</w:t>
            </w:r>
            <w:r w:rsidRPr="00B31049">
              <w:rPr>
                <w:rFonts w:ascii="Calibri" w:eastAsia="Times New Roman" w:hAnsi="Calibri" w:cs="Calibri"/>
                <w:color w:val="ED7D31" w:themeColor="accent2"/>
                <w:sz w:val="16"/>
                <w:szCs w:val="16"/>
              </w:rPr>
              <w:t xml:space="preserve"> Graduates, 4.10</w:t>
            </w:r>
            <w:r w:rsidR="00FA0A09">
              <w:rPr>
                <w:rFonts w:ascii="Calibri" w:eastAsia="Times New Roman" w:hAnsi="Calibri" w:cs="Calibri"/>
                <w:color w:val="ED7D31" w:themeColor="accent2"/>
                <w:sz w:val="16"/>
                <w:szCs w:val="16"/>
              </w:rPr>
              <w:t xml:space="preserve"> (3.86)</w:t>
            </w:r>
            <w:r w:rsidRPr="00B31049">
              <w:rPr>
                <w:rFonts w:ascii="Calibri" w:eastAsia="Times New Roman" w:hAnsi="Calibri" w:cs="Calibri"/>
                <w:color w:val="ED7D31" w:themeColor="accent2"/>
                <w:sz w:val="16"/>
                <w:szCs w:val="16"/>
              </w:rPr>
              <w:t>↑</w:t>
            </w:r>
          </w:p>
        </w:tc>
        <w:tc>
          <w:tcPr>
            <w:tcW w:w="127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35BC36F7" w14:textId="2E946A09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1095852A" w14:textId="42B4E5F4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53225128" w14:textId="16F6713E" w:rsidR="0017067D" w:rsidRPr="009705EA" w:rsidRDefault="0017067D" w:rsidP="007414E5">
            <w:pPr>
              <w:spacing w:after="0" w:line="240" w:lineRule="auto"/>
              <w:ind w:right="31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8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F8FDFF"/>
            <w:noWrap/>
            <w:vAlign w:val="bottom"/>
            <w:hideMark/>
          </w:tcPr>
          <w:p w14:paraId="66904E82" w14:textId="7E6D47E0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4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F8FDFF"/>
            <w:noWrap/>
            <w:vAlign w:val="bottom"/>
            <w:hideMark/>
          </w:tcPr>
          <w:p w14:paraId="4920CF68" w14:textId="4CF9C076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3821E2" w:rsidRPr="009206ED" w14:paraId="2BD50E24" w14:textId="77777777" w:rsidTr="00DB03FE">
        <w:tc>
          <w:tcPr>
            <w:tcW w:w="382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40DC0732" w14:textId="4E8770BA" w:rsidR="0017067D" w:rsidRPr="00B31049" w:rsidRDefault="0017067D" w:rsidP="0017067D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</w:rPr>
            </w:pPr>
            <w:r w:rsidRPr="00B31049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val="hy-AM"/>
              </w:rPr>
              <w:t>Դասավանդող կազմ</w:t>
            </w:r>
            <w:r w:rsidRPr="00B31049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Pr="00B31049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val="hy-AM"/>
              </w:rPr>
              <w:t>●</w:t>
            </w:r>
            <w:r w:rsidRPr="00B31049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</w:rPr>
              <w:t xml:space="preserve"> </w:t>
            </w:r>
            <w:r w:rsidR="00FA0A09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</w:rPr>
              <w:t>Teachers</w:t>
            </w:r>
            <w:r w:rsidRPr="00B31049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</w:rPr>
              <w:t>, 4.42</w:t>
            </w:r>
            <w:r w:rsidR="00FA0A09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</w:rPr>
              <w:t xml:space="preserve"> (3.73)</w:t>
            </w:r>
            <w:r w:rsidRPr="00B31049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</w:rPr>
              <w:t>↑</w:t>
            </w:r>
          </w:p>
        </w:tc>
        <w:tc>
          <w:tcPr>
            <w:tcW w:w="127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540CCD46" w14:textId="13915389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0A2BD48B" w14:textId="7C3FDA8B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4E85915E" w14:textId="5279C428" w:rsidR="0017067D" w:rsidRPr="009705EA" w:rsidRDefault="0017067D" w:rsidP="007414E5">
            <w:pPr>
              <w:spacing w:after="0" w:line="240" w:lineRule="auto"/>
              <w:ind w:right="31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48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F8FDFF"/>
            <w:noWrap/>
            <w:vAlign w:val="bottom"/>
            <w:hideMark/>
          </w:tcPr>
          <w:p w14:paraId="752697D1" w14:textId="2323E9BA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4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F8FDFF"/>
            <w:noWrap/>
            <w:vAlign w:val="bottom"/>
            <w:hideMark/>
          </w:tcPr>
          <w:p w14:paraId="649B1081" w14:textId="6FFA5459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3821E2" w:rsidRPr="009206ED" w14:paraId="419FCFF2" w14:textId="77777777" w:rsidTr="00DB03FE">
        <w:tc>
          <w:tcPr>
            <w:tcW w:w="382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278C366C" w14:textId="7D5350A7" w:rsidR="0017067D" w:rsidRPr="009206ED" w:rsidRDefault="0017067D" w:rsidP="00170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31049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  <w:lang w:val="hy-AM"/>
              </w:rPr>
              <w:t>Վարչական անձնակազմ</w:t>
            </w:r>
            <w:r w:rsidRPr="00B31049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</w:rPr>
              <w:t xml:space="preserve"> </w:t>
            </w:r>
            <w:r w:rsidRPr="00B31049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  <w:lang w:val="hy-AM"/>
              </w:rPr>
              <w:t>●</w:t>
            </w:r>
            <w:r w:rsidRPr="00B31049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</w:rPr>
              <w:t xml:space="preserve"> Admin staff, 4.53</w:t>
            </w:r>
            <w:r w:rsidR="00FA0A09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</w:rPr>
              <w:t xml:space="preserve"> (3.75)</w:t>
            </w:r>
            <w:r w:rsidRPr="00B31049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</w:rPr>
              <w:t>↑</w:t>
            </w:r>
          </w:p>
        </w:tc>
        <w:tc>
          <w:tcPr>
            <w:tcW w:w="127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4910A1AE" w14:textId="41ADC69F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1E175EE3" w14:textId="7EA3C18C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019FF9AB" w14:textId="532C4168" w:rsidR="0017067D" w:rsidRPr="009705EA" w:rsidRDefault="0017067D" w:rsidP="007414E5">
            <w:pPr>
              <w:spacing w:after="0" w:line="240" w:lineRule="auto"/>
              <w:ind w:right="31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F8FDFF"/>
            <w:noWrap/>
            <w:vAlign w:val="bottom"/>
            <w:hideMark/>
          </w:tcPr>
          <w:p w14:paraId="7139C85F" w14:textId="25A941B2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4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F8FDFF"/>
            <w:noWrap/>
            <w:vAlign w:val="bottom"/>
            <w:hideMark/>
          </w:tcPr>
          <w:p w14:paraId="50C8C7A4" w14:textId="57AC124D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3821E2" w:rsidRPr="009206ED" w14:paraId="4B5C9224" w14:textId="77777777" w:rsidTr="00DB03FE">
        <w:tc>
          <w:tcPr>
            <w:tcW w:w="382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243B06E8" w14:textId="4CE1FCDA" w:rsidR="0017067D" w:rsidRPr="00B31049" w:rsidRDefault="0017067D" w:rsidP="0017067D">
            <w:pPr>
              <w:spacing w:after="0" w:line="240" w:lineRule="auto"/>
              <w:rPr>
                <w:rFonts w:ascii="Calibri" w:eastAsia="Times New Roman" w:hAnsi="Calibri" w:cs="Calibri"/>
                <w:color w:val="99CC00"/>
                <w:sz w:val="16"/>
                <w:szCs w:val="16"/>
                <w:lang w:val="hy-AM"/>
              </w:rPr>
            </w:pPr>
            <w:r w:rsidRPr="00B31049">
              <w:rPr>
                <w:rFonts w:ascii="Calibri" w:eastAsia="Times New Roman" w:hAnsi="Calibri" w:cs="Calibri"/>
                <w:color w:val="99CC00"/>
                <w:sz w:val="16"/>
                <w:szCs w:val="16"/>
                <w:lang w:val="hy-AM"/>
              </w:rPr>
              <w:t xml:space="preserve">Գործատուներ ●  </w:t>
            </w:r>
            <w:r w:rsidRPr="00B31049">
              <w:rPr>
                <w:rFonts w:ascii="Calibri" w:eastAsia="Times New Roman" w:hAnsi="Calibri" w:cs="Calibri"/>
                <w:color w:val="99CC00"/>
                <w:sz w:val="16"/>
                <w:szCs w:val="16"/>
                <w:lang w:val="en-GB"/>
              </w:rPr>
              <w:t>Employers, 4.33</w:t>
            </w:r>
            <w:r w:rsidR="0018456A">
              <w:rPr>
                <w:rFonts w:ascii="Calibri" w:eastAsia="Times New Roman" w:hAnsi="Calibri" w:cs="Calibri"/>
                <w:color w:val="99CC00"/>
                <w:sz w:val="16"/>
                <w:szCs w:val="16"/>
                <w:lang w:val="en-GB"/>
              </w:rPr>
              <w:t xml:space="preserve"> (</w:t>
            </w:r>
            <w:r w:rsidR="0018456A">
              <w:rPr>
                <w:rFonts w:ascii="Calibri" w:eastAsia="Times New Roman" w:hAnsi="Calibri" w:cs="Calibri"/>
                <w:color w:val="99CC00"/>
                <w:sz w:val="16"/>
                <w:szCs w:val="16"/>
                <w:lang w:val="hy-AM"/>
              </w:rPr>
              <w:t xml:space="preserve">ՈԿ ● </w:t>
            </w:r>
            <w:r w:rsidR="0018456A">
              <w:rPr>
                <w:rFonts w:ascii="Calibri" w:eastAsia="Times New Roman" w:hAnsi="Calibri" w:cs="Calibri"/>
                <w:color w:val="99CC00"/>
                <w:sz w:val="16"/>
                <w:szCs w:val="16"/>
                <w:lang w:val="en-GB"/>
              </w:rPr>
              <w:t>data N/A)</w:t>
            </w:r>
          </w:p>
        </w:tc>
        <w:tc>
          <w:tcPr>
            <w:tcW w:w="127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0784BFC3" w14:textId="5E0FE264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0ABD4847" w14:textId="48C4ED9A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1A8A7442" w14:textId="267E4D5D" w:rsidR="0017067D" w:rsidRPr="009705EA" w:rsidRDefault="0017067D" w:rsidP="007414E5">
            <w:pPr>
              <w:spacing w:after="0" w:line="240" w:lineRule="auto"/>
              <w:ind w:right="314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F8FDFF"/>
            <w:noWrap/>
            <w:vAlign w:val="bottom"/>
          </w:tcPr>
          <w:p w14:paraId="4C9ABEC0" w14:textId="566360B2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F8FDFF"/>
            <w:noWrap/>
            <w:vAlign w:val="bottom"/>
          </w:tcPr>
          <w:p w14:paraId="67949D1F" w14:textId="2A2EDE8D" w:rsidR="0017067D" w:rsidRPr="009705EA" w:rsidRDefault="0017067D" w:rsidP="001706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D02CD8" w:rsidRPr="009206ED" w14:paraId="25BDFE46" w14:textId="77777777" w:rsidTr="00DB03FE">
        <w:tc>
          <w:tcPr>
            <w:tcW w:w="382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58430B3B" w14:textId="04AA0BF1" w:rsidR="00D02CD8" w:rsidRPr="00CC08C9" w:rsidRDefault="00D02CD8" w:rsidP="00CC08C9">
            <w:pPr>
              <w:spacing w:after="0" w:line="240" w:lineRule="auto"/>
              <w:ind w:right="-113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CC08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hy-AM"/>
              </w:rPr>
              <w:t xml:space="preserve">Ընդամենը </w:t>
            </w:r>
            <w:r w:rsidR="007F7CEF" w:rsidRPr="00CC08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hy-AM"/>
              </w:rPr>
              <w:t>բավարարված</w:t>
            </w:r>
            <w:r w:rsidRPr="00CC08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hy-AM"/>
              </w:rPr>
              <w:t xml:space="preserve"> ● </w:t>
            </w:r>
            <w:r w:rsidRPr="00CC08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Total satisfied (</w:t>
            </w:r>
            <w:r w:rsidRPr="00CC08C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</w:t>
            </w:r>
            <w:r w:rsidRPr="00CC08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):</w:t>
            </w:r>
          </w:p>
        </w:tc>
        <w:tc>
          <w:tcPr>
            <w:tcW w:w="127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1F12C4BB" w14:textId="77777777" w:rsidR="00D02CD8" w:rsidRPr="00CC08C9" w:rsidRDefault="00D02CD8" w:rsidP="00CC08C9">
            <w:pPr>
              <w:spacing w:after="0" w:line="240" w:lineRule="auto"/>
              <w:ind w:right="-113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2E11FBCC" w14:textId="77777777" w:rsidR="00D02CD8" w:rsidRPr="009705EA" w:rsidRDefault="00D02CD8" w:rsidP="0017067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02F58DFD" w14:textId="77777777" w:rsidR="00D02CD8" w:rsidRPr="009705EA" w:rsidRDefault="00D02CD8" w:rsidP="0017067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F8FDFF"/>
            <w:noWrap/>
            <w:vAlign w:val="bottom"/>
          </w:tcPr>
          <w:p w14:paraId="50C80D95" w14:textId="29C591A3" w:rsidR="00D02CD8" w:rsidRPr="009705EA" w:rsidRDefault="005B7182" w:rsidP="00CB08A2">
            <w:pPr>
              <w:spacing w:after="0" w:line="240" w:lineRule="auto"/>
              <w:ind w:left="325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705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361</w:t>
            </w:r>
          </w:p>
        </w:tc>
      </w:tr>
    </w:tbl>
    <w:bookmarkEnd w:id="0"/>
    <w:p w14:paraId="735C5D71" w14:textId="3C7A0926" w:rsidR="00022ABD" w:rsidRDefault="00C23C59" w:rsidP="00AA278B">
      <w:pPr>
        <w:rPr>
          <w:b/>
          <w:bCs/>
          <w:lang w:val="hy-AM"/>
        </w:rPr>
      </w:pPr>
      <w:r>
        <w:rPr>
          <w:noProof/>
        </w:rPr>
        <w:drawing>
          <wp:inline distT="0" distB="0" distL="0" distR="0" wp14:anchorId="30BDD1D8" wp14:editId="4999CBFB">
            <wp:extent cx="6410960" cy="1713923"/>
            <wp:effectExtent l="0" t="0" r="8890" b="63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9E6857F-EF12-C9EE-1CD5-7D7B4AE727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387AF4" w14:paraId="309F1528" w14:textId="77777777" w:rsidTr="0035218F">
        <w:tc>
          <w:tcPr>
            <w:tcW w:w="5524" w:type="dxa"/>
          </w:tcPr>
          <w:p w14:paraId="6C74F40D" w14:textId="1042D620" w:rsidR="00387AF4" w:rsidRDefault="00387AF4" w:rsidP="00EA6BEF">
            <w:pPr>
              <w:rPr>
                <w:lang w:val="hy-AM"/>
              </w:rPr>
            </w:pPr>
            <w:r>
              <w:rPr>
                <w:lang w:val="hy-AM"/>
              </w:rPr>
              <w:t xml:space="preserve">Անցյալ տարվա համեմատ, </w:t>
            </w:r>
            <w:r w:rsidRPr="00432E6C">
              <w:rPr>
                <w:lang w:val="hy-AM"/>
              </w:rPr>
              <w:t xml:space="preserve">CSAT </w:t>
            </w:r>
            <w:r>
              <w:rPr>
                <w:lang w:val="hy-AM"/>
              </w:rPr>
              <w:t xml:space="preserve">բաղադրիչը </w:t>
            </w:r>
            <w:r w:rsidR="00C861DA">
              <w:rPr>
                <w:lang w:val="hy-AM"/>
              </w:rPr>
              <w:t xml:space="preserve">նախորդից </w:t>
            </w:r>
            <w:r w:rsidR="00C861DA" w:rsidRPr="006F1EA7">
              <w:rPr>
                <w:color w:val="538135" w:themeColor="accent6" w:themeShade="BF"/>
                <w:lang w:val="hy-AM"/>
              </w:rPr>
              <w:t xml:space="preserve">բարձր է </w:t>
            </w:r>
            <w:r w:rsidR="00B932A5" w:rsidRPr="006F1EA7">
              <w:rPr>
                <w:color w:val="538135" w:themeColor="accent6" w:themeShade="BF"/>
                <w:lang w:val="hy-AM"/>
              </w:rPr>
              <w:t>18.1%-ով</w:t>
            </w:r>
            <w:r w:rsidR="00CC6EC1">
              <w:rPr>
                <w:lang w:val="hy-AM"/>
              </w:rPr>
              <w:t xml:space="preserve">։ Այն </w:t>
            </w:r>
            <w:r>
              <w:rPr>
                <w:lang w:val="hy-AM"/>
              </w:rPr>
              <w:t xml:space="preserve">զգալիորեն աճել է համարյա բոլոր հարցվողների կարծիքով։ </w:t>
            </w:r>
          </w:p>
        </w:tc>
        <w:tc>
          <w:tcPr>
            <w:tcW w:w="4536" w:type="dxa"/>
          </w:tcPr>
          <w:p w14:paraId="5DC383AB" w14:textId="7CCE99AF" w:rsidR="00387AF4" w:rsidRDefault="00387AF4" w:rsidP="00EA6BEF">
            <w:pPr>
              <w:rPr>
                <w:lang w:val="hy-AM"/>
              </w:rPr>
            </w:pPr>
            <w:r>
              <w:rPr>
                <w:lang w:val="en"/>
              </w:rPr>
              <w:t xml:space="preserve">Compared to last year, the CSAT component </w:t>
            </w:r>
            <w:r w:rsidR="00CC6EC1">
              <w:t xml:space="preserve">is </w:t>
            </w:r>
            <w:r w:rsidR="00CC6EC1" w:rsidRPr="006F1EA7">
              <w:rPr>
                <w:color w:val="538135" w:themeColor="accent6" w:themeShade="BF"/>
              </w:rPr>
              <w:t>higher by 18.1%</w:t>
            </w:r>
            <w:r w:rsidR="00CC6EC1">
              <w:t xml:space="preserve">. It </w:t>
            </w:r>
            <w:r>
              <w:rPr>
                <w:lang w:val="en"/>
              </w:rPr>
              <w:t>has increased significantly according to almost all respondents.</w:t>
            </w:r>
          </w:p>
        </w:tc>
      </w:tr>
    </w:tbl>
    <w:p w14:paraId="36ABE200" w14:textId="201D9A1E" w:rsidR="000937DD" w:rsidRPr="00432E6C" w:rsidRDefault="00B620AF" w:rsidP="00B620AF">
      <w:pPr>
        <w:spacing w:after="0"/>
        <w:rPr>
          <w:lang w:val="hy-AM"/>
        </w:rPr>
      </w:pPr>
      <w:r>
        <w:rPr>
          <w:noProof/>
        </w:rPr>
        <w:drawing>
          <wp:inline distT="0" distB="0" distL="0" distR="0" wp14:anchorId="2AAE3F0D" wp14:editId="730EA664">
            <wp:extent cx="6306185" cy="192786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9EBE527-E7E7-9A12-CBA9-552E2523C9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438"/>
      </w:tblGrid>
      <w:tr w:rsidR="001736CB" w14:paraId="41942B8D" w14:textId="77777777" w:rsidTr="00DB26BE">
        <w:tc>
          <w:tcPr>
            <w:tcW w:w="5524" w:type="dxa"/>
          </w:tcPr>
          <w:p w14:paraId="73888392" w14:textId="77777777" w:rsidR="001736CB" w:rsidRDefault="009B53AD" w:rsidP="001736CB">
            <w:pPr>
              <w:rPr>
                <w:i/>
                <w:iCs/>
                <w:color w:val="0070C0"/>
                <w:lang w:val="hy-AM"/>
              </w:rPr>
            </w:pPr>
            <w:r>
              <w:rPr>
                <w:i/>
                <w:iCs/>
                <w:color w:val="92D050"/>
                <w:sz w:val="32"/>
                <w:szCs w:val="36"/>
                <w:lang w:val="hy-AM"/>
              </w:rPr>
              <w:lastRenderedPageBreak/>
              <w:t>«</w:t>
            </w:r>
            <w:r w:rsidR="001736CB" w:rsidRPr="00DF0015">
              <w:rPr>
                <w:i/>
                <w:iCs/>
                <w:color w:val="0070C0"/>
                <w:lang w:val="hy-AM"/>
              </w:rPr>
              <w:t>Կցանկանայի, որ հարցման արդյունքների հետ աշխատանք կատարվի և բարելավի ուսման որակը։</w:t>
            </w:r>
          </w:p>
          <w:p w14:paraId="45394679" w14:textId="77777777" w:rsidR="00555FD3" w:rsidRDefault="00555FD3" w:rsidP="00555FD3">
            <w:pPr>
              <w:ind w:right="176"/>
              <w:jc w:val="right"/>
              <w:rPr>
                <w:color w:val="0070C0"/>
                <w:lang w:val="hy-AM"/>
              </w:rPr>
            </w:pPr>
            <w:r>
              <w:rPr>
                <w:color w:val="0070C0"/>
                <w:lang w:val="hy-AM"/>
              </w:rPr>
              <w:t>Դասավանդող</w:t>
            </w:r>
          </w:p>
          <w:p w14:paraId="6B1B0B5E" w14:textId="77777777" w:rsidR="00DB26BE" w:rsidRDefault="00DB26BE" w:rsidP="00555FD3">
            <w:pPr>
              <w:ind w:right="176"/>
              <w:jc w:val="right"/>
              <w:rPr>
                <w:color w:val="0070C0"/>
                <w:lang w:val="hy-AM"/>
              </w:rPr>
            </w:pPr>
          </w:p>
          <w:p w14:paraId="4B49D5C3" w14:textId="3B030997" w:rsidR="00DB26BE" w:rsidRDefault="00DB26BE" w:rsidP="00DB26BE">
            <w:pPr>
              <w:rPr>
                <w:lang w:val="hy-AM"/>
              </w:rPr>
            </w:pPr>
            <w:r w:rsidRPr="000F26CC">
              <w:rPr>
                <w:b/>
                <w:bCs/>
                <w:lang w:val="hy-AM"/>
              </w:rPr>
              <w:t xml:space="preserve">3. </w:t>
            </w:r>
            <w:r w:rsidRPr="009C0E39">
              <w:rPr>
                <w:b/>
                <w:bCs/>
                <w:lang w:val="hy-AM"/>
              </w:rPr>
              <w:t xml:space="preserve">CES. </w:t>
            </w:r>
            <w:r w:rsidRPr="001C67F3">
              <w:rPr>
                <w:lang w:val="hy-AM"/>
              </w:rPr>
              <w:t>Որքանո՞վ է «Հայբուսակ» համալսարանը նպաստում Ձեր մասնագիտական աճին:</w:t>
            </w:r>
          </w:p>
        </w:tc>
        <w:tc>
          <w:tcPr>
            <w:tcW w:w="4438" w:type="dxa"/>
          </w:tcPr>
          <w:p w14:paraId="3D081F38" w14:textId="77777777" w:rsidR="00555FD3" w:rsidRPr="008405A2" w:rsidRDefault="00555FD3" w:rsidP="00555FD3">
            <w:pPr>
              <w:keepNext/>
              <w:rPr>
                <w:rFonts w:cs="Tahoma"/>
                <w:i/>
                <w:iCs/>
                <w:color w:val="0070C0"/>
              </w:rPr>
            </w:pPr>
            <w:r>
              <w:rPr>
                <w:i/>
                <w:iCs/>
                <w:color w:val="92D050"/>
                <w:sz w:val="32"/>
                <w:szCs w:val="36"/>
              </w:rPr>
              <w:t>“</w:t>
            </w:r>
            <w:r>
              <w:rPr>
                <w:i/>
                <w:iCs/>
                <w:color w:val="0070C0"/>
              </w:rPr>
              <w:t>I wish efforts are made along these survey results to enhance the quality of education.</w:t>
            </w:r>
          </w:p>
          <w:p w14:paraId="63B64EAF" w14:textId="77777777" w:rsidR="001736CB" w:rsidRDefault="00AC2837" w:rsidP="00AC2837">
            <w:pPr>
              <w:ind w:right="218"/>
              <w:jc w:val="right"/>
              <w:rPr>
                <w:color w:val="0070C0"/>
                <w:lang w:val="hy-AM"/>
              </w:rPr>
            </w:pPr>
            <w:r>
              <w:rPr>
                <w:color w:val="0070C0"/>
              </w:rPr>
              <w:t>T</w:t>
            </w:r>
            <w:proofErr w:type="spellStart"/>
            <w:r w:rsidR="00555FD3" w:rsidRPr="00712651">
              <w:rPr>
                <w:color w:val="0070C0"/>
                <w:lang w:val="hy-AM"/>
              </w:rPr>
              <w:t>eacher</w:t>
            </w:r>
            <w:proofErr w:type="spellEnd"/>
          </w:p>
          <w:p w14:paraId="4CF523D8" w14:textId="77777777" w:rsidR="00DB26BE" w:rsidRDefault="00DB26BE" w:rsidP="00DB26BE"/>
          <w:p w14:paraId="3770018E" w14:textId="77777777" w:rsidR="00DB26BE" w:rsidRDefault="00DB26BE" w:rsidP="00DB26BE">
            <w:pPr>
              <w:rPr>
                <w:lang w:val="hy-AM"/>
              </w:rPr>
            </w:pPr>
            <w:r>
              <w:rPr>
                <w:b/>
                <w:bCs/>
              </w:rPr>
              <w:t xml:space="preserve">3. </w:t>
            </w:r>
            <w:r w:rsidRPr="009C0E39">
              <w:rPr>
                <w:b/>
                <w:bCs/>
                <w:lang w:val="hy-AM"/>
              </w:rPr>
              <w:t>CES</w:t>
            </w:r>
            <w:r>
              <w:rPr>
                <w:b/>
                <w:bCs/>
              </w:rPr>
              <w:t>:</w:t>
            </w:r>
            <w:r w:rsidRPr="009C0E39">
              <w:rPr>
                <w:lang w:val="hy-AM"/>
              </w:rPr>
              <w:t xml:space="preserve"> </w:t>
            </w:r>
            <w:proofErr w:type="spellStart"/>
            <w:r w:rsidRPr="009C0E39">
              <w:rPr>
                <w:lang w:val="hy-AM"/>
              </w:rPr>
              <w:t>How</w:t>
            </w:r>
            <w:proofErr w:type="spellEnd"/>
            <w:r w:rsidRPr="009C0E39">
              <w:rPr>
                <w:lang w:val="hy-AM"/>
              </w:rPr>
              <w:t xml:space="preserve"> </w:t>
            </w:r>
            <w:proofErr w:type="spellStart"/>
            <w:r w:rsidRPr="009C0E39">
              <w:rPr>
                <w:lang w:val="hy-AM"/>
              </w:rPr>
              <w:t>helpful</w:t>
            </w:r>
            <w:proofErr w:type="spellEnd"/>
            <w:r w:rsidRPr="009C0E39">
              <w:rPr>
                <w:lang w:val="hy-AM"/>
              </w:rPr>
              <w:t xml:space="preserve"> </w:t>
            </w:r>
            <w:proofErr w:type="spellStart"/>
            <w:r w:rsidRPr="009C0E39">
              <w:rPr>
                <w:lang w:val="hy-AM"/>
              </w:rPr>
              <w:t>is</w:t>
            </w:r>
            <w:proofErr w:type="spellEnd"/>
            <w:r w:rsidRPr="009C0E39">
              <w:rPr>
                <w:lang w:val="hy-AM"/>
              </w:rPr>
              <w:t xml:space="preserve"> Haybusak University </w:t>
            </w:r>
            <w:proofErr w:type="spellStart"/>
            <w:r w:rsidRPr="009C0E39">
              <w:rPr>
                <w:lang w:val="hy-AM"/>
              </w:rPr>
              <w:t>for</w:t>
            </w:r>
            <w:proofErr w:type="spellEnd"/>
            <w:r w:rsidRPr="009C0E39">
              <w:rPr>
                <w:lang w:val="hy-AM"/>
              </w:rPr>
              <w:t xml:space="preserve"> </w:t>
            </w:r>
            <w:proofErr w:type="spellStart"/>
            <w:r w:rsidRPr="009C0E39">
              <w:rPr>
                <w:lang w:val="hy-AM"/>
              </w:rPr>
              <w:t>your</w:t>
            </w:r>
            <w:proofErr w:type="spellEnd"/>
            <w:r w:rsidRPr="009C0E39">
              <w:rPr>
                <w:lang w:val="hy-AM"/>
              </w:rPr>
              <w:t xml:space="preserve"> </w:t>
            </w:r>
            <w:proofErr w:type="spellStart"/>
            <w:r w:rsidRPr="009C0E39">
              <w:rPr>
                <w:lang w:val="hy-AM"/>
              </w:rPr>
              <w:t>professional</w:t>
            </w:r>
            <w:proofErr w:type="spellEnd"/>
            <w:r w:rsidRPr="009C0E39">
              <w:rPr>
                <w:lang w:val="hy-AM"/>
              </w:rPr>
              <w:t xml:space="preserve"> </w:t>
            </w:r>
            <w:proofErr w:type="spellStart"/>
            <w:r w:rsidRPr="009C0E39">
              <w:rPr>
                <w:lang w:val="hy-AM"/>
              </w:rPr>
              <w:t>growth</w:t>
            </w:r>
            <w:proofErr w:type="spellEnd"/>
            <w:r w:rsidRPr="009C0E39">
              <w:rPr>
                <w:lang w:val="hy-AM"/>
              </w:rPr>
              <w:t>?</w:t>
            </w:r>
          </w:p>
          <w:p w14:paraId="6A9A6EA9" w14:textId="25B8A3C8" w:rsidR="00517BE2" w:rsidRPr="00DB26BE" w:rsidRDefault="00517BE2" w:rsidP="00DB26BE"/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5"/>
        <w:gridCol w:w="711"/>
        <w:gridCol w:w="1558"/>
        <w:gridCol w:w="847"/>
        <w:gridCol w:w="1553"/>
      </w:tblGrid>
      <w:tr w:rsidR="00D26A4B" w:rsidRPr="009206ED" w14:paraId="2AF61054" w14:textId="465F9DBB" w:rsidTr="00D26A4B">
        <w:tc>
          <w:tcPr>
            <w:tcW w:w="3969" w:type="dxa"/>
            <w:shd w:val="clear" w:color="auto" w:fill="D9E2F3" w:themeFill="accent1" w:themeFillTint="33"/>
            <w:noWrap/>
            <w:vAlign w:val="center"/>
            <w:hideMark/>
          </w:tcPr>
          <w:p w14:paraId="00D879F9" w14:textId="29389314" w:rsidR="00D26A4B" w:rsidRPr="009206ED" w:rsidRDefault="00D26A4B" w:rsidP="00BB3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206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ES </w:t>
            </w:r>
            <w:r w:rsidRPr="00825E7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 (2021)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135" w:type="dxa"/>
            <w:shd w:val="clear" w:color="auto" w:fill="D9E2F3" w:themeFill="accent1" w:themeFillTint="33"/>
            <w:vAlign w:val="bottom"/>
            <w:hideMark/>
          </w:tcPr>
          <w:p w14:paraId="283F9B59" w14:textId="3F605280" w:rsidR="00D26A4B" w:rsidRPr="009206ED" w:rsidRDefault="00D26A4B" w:rsidP="00BB3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0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Բոլորովին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None at all</w:t>
            </w:r>
          </w:p>
        </w:tc>
        <w:tc>
          <w:tcPr>
            <w:tcW w:w="711" w:type="dxa"/>
            <w:shd w:val="clear" w:color="auto" w:fill="D9E2F3" w:themeFill="accent1" w:themeFillTint="33"/>
            <w:vAlign w:val="bottom"/>
            <w:hideMark/>
          </w:tcPr>
          <w:p w14:paraId="31B9C8FD" w14:textId="77777777" w:rsidR="00D26A4B" w:rsidRDefault="00D26A4B" w:rsidP="00BB3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0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Քիչ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8A278EB" w14:textId="2F001887" w:rsidR="00D26A4B" w:rsidRPr="009206ED" w:rsidRDefault="00D26A4B" w:rsidP="00BB3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little</w:t>
            </w:r>
          </w:p>
        </w:tc>
        <w:tc>
          <w:tcPr>
            <w:tcW w:w="1558" w:type="dxa"/>
            <w:shd w:val="clear" w:color="auto" w:fill="D9E2F3" w:themeFill="accent1" w:themeFillTint="33"/>
            <w:vAlign w:val="bottom"/>
            <w:hideMark/>
          </w:tcPr>
          <w:p w14:paraId="5A3EA327" w14:textId="3CAED60F" w:rsidR="00D26A4B" w:rsidRPr="009206ED" w:rsidRDefault="00D26A4B" w:rsidP="00BB3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0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Որոշ չափով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A moderate amount</w:t>
            </w:r>
          </w:p>
        </w:tc>
        <w:tc>
          <w:tcPr>
            <w:tcW w:w="847" w:type="dxa"/>
            <w:shd w:val="clear" w:color="auto" w:fill="D9E2F3" w:themeFill="accent1" w:themeFillTint="33"/>
            <w:vAlign w:val="bottom"/>
            <w:hideMark/>
          </w:tcPr>
          <w:p w14:paraId="5F07C204" w14:textId="77777777" w:rsidR="00D26A4B" w:rsidRDefault="00D26A4B" w:rsidP="00BB3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0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Շատ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71BF75BE" w14:textId="41A48178" w:rsidR="00D26A4B" w:rsidRPr="009206ED" w:rsidRDefault="00D26A4B" w:rsidP="00BB3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lot</w:t>
            </w:r>
          </w:p>
        </w:tc>
        <w:tc>
          <w:tcPr>
            <w:tcW w:w="1553" w:type="dxa"/>
            <w:shd w:val="clear" w:color="auto" w:fill="D9E2F3" w:themeFill="accent1" w:themeFillTint="33"/>
            <w:vAlign w:val="bottom"/>
            <w:hideMark/>
          </w:tcPr>
          <w:p w14:paraId="283899F2" w14:textId="77777777" w:rsidR="00D26A4B" w:rsidRDefault="00D26A4B" w:rsidP="00BB3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107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Առավելագույնս</w:t>
            </w: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1534F05E" w14:textId="06A2A24A" w:rsidR="00D26A4B" w:rsidRPr="009206ED" w:rsidRDefault="00D26A4B" w:rsidP="00BB3C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A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great deal</w:t>
            </w:r>
          </w:p>
        </w:tc>
      </w:tr>
      <w:tr w:rsidR="00D26A4B" w:rsidRPr="009206ED" w14:paraId="6C408703" w14:textId="78419E52" w:rsidTr="00D26A4B">
        <w:tc>
          <w:tcPr>
            <w:tcW w:w="3969" w:type="dxa"/>
            <w:tcBorders>
              <w:top w:val="nil"/>
              <w:left w:val="nil"/>
              <w:bottom w:val="single" w:sz="4" w:space="0" w:color="D9E2F3" w:themeColor="accent1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3CDD399D" w14:textId="6D94B8BA" w:rsidR="00D26A4B" w:rsidRPr="00DB1E70" w:rsidRDefault="00D26A4B" w:rsidP="006D51B6">
            <w:pPr>
              <w:spacing w:after="0" w:line="240" w:lineRule="auto"/>
              <w:rPr>
                <w:rFonts w:ascii="Segoe UI Symbol" w:eastAsia="Times New Roman" w:hAnsi="Segoe UI Symbol" w:cs="Calibri"/>
                <w:color w:val="2F5496" w:themeColor="accent1" w:themeShade="BF"/>
                <w:sz w:val="16"/>
                <w:szCs w:val="16"/>
              </w:rPr>
            </w:pPr>
            <w:r w:rsidRPr="00DB1E70">
              <w:rPr>
                <w:rFonts w:ascii="Calibri" w:eastAsia="Times New Roman" w:hAnsi="Calibri" w:cs="Calibri"/>
                <w:color w:val="2F5496" w:themeColor="accent1" w:themeShade="BF"/>
                <w:sz w:val="16"/>
                <w:szCs w:val="16"/>
                <w:lang w:val="hy-AM"/>
              </w:rPr>
              <w:t>Ուսանողներ</w:t>
            </w:r>
            <w:r w:rsidRPr="00DB1E70">
              <w:rPr>
                <w:rFonts w:ascii="Calibri" w:eastAsia="Times New Roman" w:hAnsi="Calibri" w:cs="Calibri"/>
                <w:color w:val="2F5496" w:themeColor="accent1" w:themeShade="BF"/>
                <w:sz w:val="16"/>
                <w:szCs w:val="16"/>
              </w:rPr>
              <w:t xml:space="preserve"> ● Students, </w:t>
            </w:r>
            <w:r w:rsidRPr="00DB1E70">
              <w:rPr>
                <w:rFonts w:ascii="Calibri" w:eastAsia="Times New Roman" w:hAnsi="Calibri" w:cs="Calibri"/>
                <w:color w:val="2F5496" w:themeColor="accent1" w:themeShade="BF"/>
                <w:sz w:val="16"/>
                <w:szCs w:val="16"/>
                <w:lang w:val="hy-AM"/>
              </w:rPr>
              <w:t>3.90 (</w:t>
            </w:r>
            <w:r w:rsidRPr="00DB1E70">
              <w:rPr>
                <w:rFonts w:ascii="Calibri" w:eastAsia="Times New Roman" w:hAnsi="Calibri" w:cs="Calibri"/>
                <w:color w:val="2F5496" w:themeColor="accent1" w:themeShade="BF"/>
                <w:sz w:val="16"/>
                <w:szCs w:val="16"/>
              </w:rPr>
              <w:t>3.42)</w:t>
            </w:r>
            <w:r w:rsidRPr="00DB1E70">
              <w:rPr>
                <w:rFonts w:asciiTheme="minorHAnsi" w:eastAsia="Times New Roman" w:hAnsiTheme="minorHAnsi" w:cstheme="minorHAnsi"/>
                <w:color w:val="2F5496" w:themeColor="accent1" w:themeShade="BF"/>
                <w:sz w:val="16"/>
                <w:szCs w:val="16"/>
              </w:rPr>
              <w:t>↑</w:t>
            </w:r>
          </w:p>
        </w:tc>
        <w:tc>
          <w:tcPr>
            <w:tcW w:w="1135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0DF80060" w14:textId="491DC8FF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7E330929" w14:textId="2DDC7495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8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06F36322" w14:textId="7A6BE1ED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47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422EBEEE" w14:textId="4F131BE5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53" w:type="dxa"/>
            <w:tcBorders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165F976A" w14:textId="53BDDCD7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</w:tr>
      <w:tr w:rsidR="00D26A4B" w:rsidRPr="009206ED" w14:paraId="209BFBB9" w14:textId="60A10739" w:rsidTr="00D26A4B">
        <w:tc>
          <w:tcPr>
            <w:tcW w:w="3969" w:type="dxa"/>
            <w:tcBorders>
              <w:top w:val="single" w:sz="4" w:space="0" w:color="D9E2F3" w:themeColor="accent1" w:themeTint="33"/>
              <w:left w:val="nil"/>
              <w:bottom w:val="single" w:sz="4" w:space="0" w:color="D9E2F3" w:themeColor="accent1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02885F33" w14:textId="1455E066" w:rsidR="00D26A4B" w:rsidRPr="00CD6BAF" w:rsidRDefault="00D26A4B" w:rsidP="006D51B6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6"/>
                <w:szCs w:val="16"/>
              </w:rPr>
            </w:pPr>
            <w:r w:rsidRPr="00DB1E70">
              <w:rPr>
                <w:rFonts w:ascii="Calibri" w:eastAsia="Times New Roman" w:hAnsi="Calibri" w:cs="Calibri"/>
                <w:color w:val="ED7D31" w:themeColor="accent2"/>
                <w:sz w:val="16"/>
                <w:szCs w:val="16"/>
                <w:lang w:val="hy-AM"/>
              </w:rPr>
              <w:t>Շրջանավարտներ</w:t>
            </w:r>
            <w:r w:rsidRPr="00DB1E70">
              <w:rPr>
                <w:rFonts w:ascii="Calibri" w:eastAsia="Times New Roman" w:hAnsi="Calibri" w:cs="Calibri"/>
                <w:color w:val="ED7D31" w:themeColor="accent2"/>
                <w:sz w:val="16"/>
                <w:szCs w:val="16"/>
              </w:rPr>
              <w:t xml:space="preserve"> ● Graduates, </w:t>
            </w:r>
            <w:r w:rsidRPr="0076091E">
              <w:rPr>
                <w:rFonts w:ascii="Calibri" w:eastAsia="Times New Roman" w:hAnsi="Calibri" w:cs="Calibri"/>
                <w:b/>
                <w:bCs/>
                <w:color w:val="ED7D31" w:themeColor="accent2"/>
                <w:sz w:val="16"/>
                <w:szCs w:val="16"/>
              </w:rPr>
              <w:t>3.75 (3.86)↓</w:t>
            </w:r>
          </w:p>
        </w:tc>
        <w:tc>
          <w:tcPr>
            <w:tcW w:w="11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44B8EA97" w14:textId="3E17B61B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050C6C24" w14:textId="005C50CC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489D5DEB" w14:textId="051193C4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7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5828ED17" w14:textId="5888E43A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351C7AB3" w14:textId="57A67BC7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D26A4B" w:rsidRPr="009206ED" w14:paraId="3EE5821E" w14:textId="5B40D585" w:rsidTr="00D26A4B">
        <w:tc>
          <w:tcPr>
            <w:tcW w:w="3969" w:type="dxa"/>
            <w:tcBorders>
              <w:top w:val="single" w:sz="4" w:space="0" w:color="D9E2F3" w:themeColor="accent1" w:themeTint="33"/>
              <w:left w:val="nil"/>
              <w:bottom w:val="single" w:sz="4" w:space="0" w:color="D9E2F3" w:themeColor="accent1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1B14A1C1" w14:textId="77C246FA" w:rsidR="00D26A4B" w:rsidRPr="00617E7B" w:rsidRDefault="00D26A4B" w:rsidP="006D51B6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6"/>
                <w:szCs w:val="16"/>
              </w:rPr>
            </w:pPr>
            <w:r w:rsidRPr="008A3936">
              <w:rPr>
                <w:rFonts w:ascii="Calibri" w:eastAsia="Times New Roman" w:hAnsi="Calibri" w:cs="Calibri"/>
                <w:color w:val="808080" w:themeColor="background1" w:themeShade="80"/>
                <w:sz w:val="16"/>
                <w:szCs w:val="16"/>
                <w:lang w:val="hy-AM"/>
              </w:rPr>
              <w:t xml:space="preserve">Դասավանդողներ </w:t>
            </w:r>
            <w:r w:rsidRPr="008A3936">
              <w:rPr>
                <w:rFonts w:ascii="Calibri" w:eastAsia="Times New Roman" w:hAnsi="Calibri" w:cs="Calibri"/>
                <w:color w:val="808080" w:themeColor="background1" w:themeShade="80"/>
                <w:sz w:val="16"/>
                <w:szCs w:val="16"/>
              </w:rPr>
              <w:t xml:space="preserve">● </w:t>
            </w:r>
            <w:r w:rsidR="0076091E">
              <w:rPr>
                <w:rFonts w:ascii="Calibri" w:eastAsia="Times New Roman" w:hAnsi="Calibri" w:cs="Calibri"/>
                <w:color w:val="808080" w:themeColor="background1" w:themeShade="80"/>
                <w:sz w:val="16"/>
                <w:szCs w:val="16"/>
              </w:rPr>
              <w:t>Teachers</w:t>
            </w:r>
            <w:r w:rsidRPr="008A3936">
              <w:rPr>
                <w:rFonts w:ascii="Calibri" w:eastAsia="Times New Roman" w:hAnsi="Calibri" w:cs="Calibri"/>
                <w:color w:val="808080" w:themeColor="background1" w:themeShade="80"/>
                <w:sz w:val="16"/>
                <w:szCs w:val="16"/>
              </w:rPr>
              <w:t>, 4.32 (3.73)</w:t>
            </w:r>
            <w:r w:rsidR="00617E7B" w:rsidRPr="008A3936">
              <w:rPr>
                <w:rFonts w:ascii="Calibri" w:eastAsia="Times New Roman" w:hAnsi="Calibri" w:cs="Calibri"/>
                <w:color w:val="808080" w:themeColor="background1" w:themeShade="80"/>
                <w:sz w:val="16"/>
                <w:szCs w:val="16"/>
              </w:rPr>
              <w:t xml:space="preserve"> ↑</w:t>
            </w:r>
          </w:p>
        </w:tc>
        <w:tc>
          <w:tcPr>
            <w:tcW w:w="11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018E2FC6" w14:textId="4E7D7A93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46CB7D6B" w14:textId="6F56D0D4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07975E72" w14:textId="50C928AE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7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550F01EC" w14:textId="069753E2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3BC991A7" w14:textId="36C79625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D26A4B" w:rsidRPr="009206ED" w14:paraId="5B213AC2" w14:textId="35B53C68" w:rsidTr="00D26A4B">
        <w:tc>
          <w:tcPr>
            <w:tcW w:w="3969" w:type="dxa"/>
            <w:tcBorders>
              <w:top w:val="single" w:sz="4" w:space="0" w:color="D9E2F3" w:themeColor="accent1" w:themeTint="33"/>
              <w:left w:val="nil"/>
              <w:bottom w:val="single" w:sz="4" w:space="0" w:color="D9E2F3" w:themeColor="accent1" w:themeTint="33"/>
              <w:right w:val="nil"/>
            </w:tcBorders>
            <w:shd w:val="clear" w:color="auto" w:fill="auto"/>
            <w:noWrap/>
            <w:vAlign w:val="bottom"/>
            <w:hideMark/>
          </w:tcPr>
          <w:p w14:paraId="05BD998F" w14:textId="19B930A7" w:rsidR="00D26A4B" w:rsidRPr="002C4E6B" w:rsidRDefault="00D26A4B" w:rsidP="006D51B6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16"/>
                <w:szCs w:val="16"/>
              </w:rPr>
            </w:pPr>
            <w:r w:rsidRPr="008A3936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  <w:lang w:val="hy-AM"/>
              </w:rPr>
              <w:t>Վարչական</w:t>
            </w:r>
            <w:r w:rsidRPr="008A3936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</w:rPr>
              <w:t xml:space="preserve"> </w:t>
            </w:r>
            <w:r w:rsidRPr="008A3936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  <w:lang w:val="hy-AM"/>
              </w:rPr>
              <w:t>անձնակազմ</w:t>
            </w:r>
            <w:r w:rsidRPr="008A3936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</w:rPr>
              <w:t xml:space="preserve"> ● Admin staff, 4</w:t>
            </w:r>
            <w:r w:rsidR="005905A1" w:rsidRPr="008A3936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</w:rPr>
              <w:t>.</w:t>
            </w:r>
            <w:r w:rsidR="00FA16EC" w:rsidRPr="008A3936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  <w:lang w:val="hy-AM"/>
              </w:rPr>
              <w:t>47</w:t>
            </w:r>
            <w:r w:rsidR="005905A1" w:rsidRPr="008A3936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</w:rPr>
              <w:t xml:space="preserve"> (4) </w:t>
            </w:r>
            <w:r w:rsidR="002C4E6B" w:rsidRPr="008A3936">
              <w:rPr>
                <w:rFonts w:ascii="Calibri" w:eastAsia="Times New Roman" w:hAnsi="Calibri" w:cs="Calibri"/>
                <w:color w:val="FFC000" w:themeColor="accent4"/>
                <w:sz w:val="16"/>
                <w:szCs w:val="16"/>
              </w:rPr>
              <w:t>↑</w:t>
            </w:r>
          </w:p>
        </w:tc>
        <w:tc>
          <w:tcPr>
            <w:tcW w:w="11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55B8C290" w14:textId="71B89884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2C0CF052" w14:textId="4C2F2329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076C43BF" w14:textId="7CC528AA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5F6FB493" w14:textId="0BB82938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  <w:hideMark/>
          </w:tcPr>
          <w:p w14:paraId="5B6F6276" w14:textId="536D7DD9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D26A4B" w:rsidRPr="009206ED" w14:paraId="0385B593" w14:textId="0DF7AA9D" w:rsidTr="00D26A4B">
        <w:tc>
          <w:tcPr>
            <w:tcW w:w="3969" w:type="dxa"/>
            <w:tcBorders>
              <w:top w:val="single" w:sz="4" w:space="0" w:color="D9E2F3" w:themeColor="accent1" w:themeTint="33"/>
              <w:left w:val="nil"/>
              <w:bottom w:val="single" w:sz="4" w:space="0" w:color="D9E2F3" w:themeColor="accent1" w:themeTint="33"/>
              <w:right w:val="nil"/>
            </w:tcBorders>
            <w:shd w:val="clear" w:color="auto" w:fill="auto"/>
            <w:noWrap/>
            <w:vAlign w:val="bottom"/>
          </w:tcPr>
          <w:p w14:paraId="24D801EA" w14:textId="393937C1" w:rsidR="00D26A4B" w:rsidRPr="008A3936" w:rsidRDefault="00544793" w:rsidP="006D51B6">
            <w:pPr>
              <w:spacing w:after="0" w:line="240" w:lineRule="auto"/>
              <w:rPr>
                <w:rFonts w:ascii="Calibri" w:eastAsia="Times New Roman" w:hAnsi="Calibri" w:cs="Calibri"/>
                <w:color w:val="99CC00"/>
                <w:sz w:val="16"/>
                <w:szCs w:val="16"/>
              </w:rPr>
            </w:pPr>
            <w:r w:rsidRPr="008A3936">
              <w:rPr>
                <w:rFonts w:ascii="Calibri" w:eastAsia="Times New Roman" w:hAnsi="Calibri" w:cs="Calibri"/>
                <w:color w:val="99CC00"/>
                <w:sz w:val="16"/>
                <w:szCs w:val="16"/>
                <w:lang w:val="hy-AM"/>
              </w:rPr>
              <w:t>Գործատու</w:t>
            </w:r>
            <w:r w:rsidR="00D26A4B" w:rsidRPr="008A3936">
              <w:rPr>
                <w:rFonts w:ascii="Calibri" w:eastAsia="Times New Roman" w:hAnsi="Calibri" w:cs="Calibri"/>
                <w:color w:val="99CC00"/>
                <w:sz w:val="16"/>
                <w:szCs w:val="16"/>
                <w:lang w:val="hy-AM"/>
              </w:rPr>
              <w:t>ներ</w:t>
            </w:r>
            <w:r w:rsidR="00D26A4B" w:rsidRPr="008A3936">
              <w:rPr>
                <w:rFonts w:ascii="Calibri" w:eastAsia="Times New Roman" w:hAnsi="Calibri" w:cs="Calibri"/>
                <w:color w:val="99CC00"/>
                <w:sz w:val="16"/>
                <w:szCs w:val="16"/>
              </w:rPr>
              <w:t xml:space="preserve"> ● </w:t>
            </w:r>
            <w:r w:rsidR="002C4E6B" w:rsidRPr="008A3936">
              <w:rPr>
                <w:rFonts w:ascii="Calibri" w:eastAsia="Times New Roman" w:hAnsi="Calibri" w:cs="Calibri"/>
                <w:color w:val="99CC00"/>
                <w:sz w:val="16"/>
                <w:szCs w:val="16"/>
              </w:rPr>
              <w:t>Employers</w:t>
            </w:r>
            <w:r w:rsidR="00D26A4B" w:rsidRPr="008A3936">
              <w:rPr>
                <w:rFonts w:ascii="Calibri" w:eastAsia="Times New Roman" w:hAnsi="Calibri" w:cs="Calibri"/>
                <w:color w:val="99CC00"/>
                <w:sz w:val="16"/>
                <w:szCs w:val="16"/>
              </w:rPr>
              <w:t xml:space="preserve">, </w:t>
            </w:r>
            <w:r w:rsidR="00FA16EC" w:rsidRPr="008A3936">
              <w:rPr>
                <w:rFonts w:ascii="Calibri" w:eastAsia="Times New Roman" w:hAnsi="Calibri" w:cs="Calibri"/>
                <w:color w:val="99CC00"/>
                <w:sz w:val="16"/>
                <w:szCs w:val="16"/>
                <w:lang w:val="hy-AM"/>
              </w:rPr>
              <w:t>4.17</w:t>
            </w:r>
            <w:r w:rsidR="00251B36" w:rsidRPr="008A3936">
              <w:rPr>
                <w:rFonts w:ascii="Calibri" w:eastAsia="Times New Roman" w:hAnsi="Calibri" w:cs="Calibri"/>
                <w:color w:val="99CC00"/>
                <w:sz w:val="16"/>
                <w:szCs w:val="16"/>
                <w:lang w:val="hy-AM"/>
              </w:rPr>
              <w:t xml:space="preserve"> (ՈԿ</w:t>
            </w:r>
            <w:r w:rsidR="00DB1E70" w:rsidRPr="008A3936">
              <w:rPr>
                <w:rFonts w:ascii="Calibri" w:eastAsia="Times New Roman" w:hAnsi="Calibri" w:cs="Calibri"/>
                <w:color w:val="99CC00"/>
                <w:sz w:val="16"/>
                <w:szCs w:val="16"/>
                <w:lang w:val="hy-AM"/>
              </w:rPr>
              <w:t xml:space="preserve"> ● </w:t>
            </w:r>
            <w:r w:rsidR="00251B36" w:rsidRPr="008A3936">
              <w:rPr>
                <w:rFonts w:ascii="Calibri" w:eastAsia="Times New Roman" w:hAnsi="Calibri" w:cs="Calibri"/>
                <w:color w:val="99CC00"/>
                <w:sz w:val="16"/>
                <w:szCs w:val="16"/>
              </w:rPr>
              <w:t>N/A)</w:t>
            </w:r>
          </w:p>
        </w:tc>
        <w:tc>
          <w:tcPr>
            <w:tcW w:w="11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0DCE34E5" w14:textId="52F21F55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3ACFE239" w14:textId="430B4A20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542684EA" w14:textId="3FB28453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64C5E789" w14:textId="7D29BE36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17506D81" w14:textId="6C433359" w:rsidR="00D26A4B" w:rsidRPr="00201C8D" w:rsidRDefault="00D26A4B" w:rsidP="006D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01C8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D26A4B" w:rsidRPr="009206ED" w14:paraId="7F4BB92E" w14:textId="52759531" w:rsidTr="00D26A4B">
        <w:tc>
          <w:tcPr>
            <w:tcW w:w="3969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7C6DD47B" w14:textId="768DDBA1" w:rsidR="00D26A4B" w:rsidRPr="007664F8" w:rsidRDefault="00D26A4B" w:rsidP="00C16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hy-AM"/>
              </w:rPr>
            </w:pPr>
            <w:r w:rsidRPr="007664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hy-AM"/>
              </w:rPr>
              <w:t xml:space="preserve">Ընդամենը ● </w:t>
            </w:r>
            <w:r w:rsidRPr="007664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Total (</w:t>
            </w:r>
            <w:r w:rsidRPr="007664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</w:t>
            </w:r>
            <w:r w:rsidRPr="007664F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):</w:t>
            </w:r>
          </w:p>
        </w:tc>
        <w:tc>
          <w:tcPr>
            <w:tcW w:w="1135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1C7D7F2D" w14:textId="77777777" w:rsidR="00D26A4B" w:rsidRPr="009705EA" w:rsidRDefault="00D26A4B" w:rsidP="00C1659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1584AB01" w14:textId="77777777" w:rsidR="00D26A4B" w:rsidRPr="009705EA" w:rsidRDefault="00D26A4B" w:rsidP="00C1659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1DA10E0C" w14:textId="77777777" w:rsidR="00D26A4B" w:rsidRPr="009705EA" w:rsidRDefault="00D26A4B" w:rsidP="00C1659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46A49D2E" w14:textId="77777777" w:rsidR="00D26A4B" w:rsidRPr="009705EA" w:rsidRDefault="00D26A4B" w:rsidP="00C1659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D9E2F3" w:themeColor="accent1" w:themeTint="33"/>
              <w:bottom w:val="single" w:sz="4" w:space="0" w:color="D9E2F3" w:themeColor="accent1" w:themeTint="33"/>
            </w:tcBorders>
            <w:shd w:val="clear" w:color="auto" w:fill="auto"/>
            <w:noWrap/>
            <w:vAlign w:val="bottom"/>
          </w:tcPr>
          <w:p w14:paraId="342EB7BE" w14:textId="6E0259FB" w:rsidR="00D26A4B" w:rsidRPr="00C44C66" w:rsidRDefault="00D26A4B" w:rsidP="00C1659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44C6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 w:rsidRPr="00C44C6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031</w:t>
            </w:r>
          </w:p>
        </w:tc>
      </w:tr>
    </w:tbl>
    <w:p w14:paraId="00F8E853" w14:textId="7CC41B5A" w:rsidR="00154634" w:rsidRPr="009C0E39" w:rsidRDefault="00154634" w:rsidP="00A62245">
      <w:pPr>
        <w:spacing w:after="0"/>
        <w:rPr>
          <w:lang w:val="hy-AM"/>
        </w:rPr>
      </w:pPr>
    </w:p>
    <w:p w14:paraId="5CEB3FAD" w14:textId="3B7E4ECB" w:rsidR="009455E1" w:rsidRPr="00A62245" w:rsidRDefault="00FB41EC" w:rsidP="00195D11">
      <w:pPr>
        <w:rPr>
          <w:b/>
          <w:bCs/>
          <w:lang w:val="ru-RU"/>
        </w:rPr>
      </w:pPr>
      <w:r>
        <w:rPr>
          <w:noProof/>
        </w:rPr>
        <w:drawing>
          <wp:inline distT="0" distB="0" distL="0" distR="0" wp14:anchorId="77A18C85" wp14:editId="6C522179">
            <wp:extent cx="6431280" cy="1463040"/>
            <wp:effectExtent l="0" t="0" r="7620" b="381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C461177-0896-0547-C985-F56AA495D8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2CAD80" w14:textId="19515C86" w:rsidR="00DE2224" w:rsidRDefault="00285174" w:rsidP="00DE2224">
      <w:pPr>
        <w:jc w:val="both"/>
        <w:rPr>
          <w:lang w:val="hy-AM"/>
        </w:rPr>
      </w:pPr>
      <w:r>
        <w:rPr>
          <w:noProof/>
        </w:rPr>
        <w:drawing>
          <wp:inline distT="0" distB="0" distL="0" distR="0" wp14:anchorId="61574610" wp14:editId="7F643BE5">
            <wp:extent cx="6624320" cy="1862138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A97D7474-9EF5-8707-CD4F-4BFB2E79F2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80"/>
      </w:tblGrid>
      <w:tr w:rsidR="00DB03FE" w14:paraId="053C5BCA" w14:textId="77777777" w:rsidTr="00A93ACB">
        <w:tc>
          <w:tcPr>
            <w:tcW w:w="5382" w:type="dxa"/>
          </w:tcPr>
          <w:p w14:paraId="2ECE2DB9" w14:textId="77777777" w:rsidR="00DB03FE" w:rsidRDefault="00DB03FE" w:rsidP="00A93ACB">
            <w:pPr>
              <w:spacing w:after="60"/>
              <w:rPr>
                <w:lang w:val="hy-AM"/>
              </w:rPr>
            </w:pPr>
            <w:r w:rsidRPr="00E04712">
              <w:rPr>
                <w:lang w:val="hy-AM"/>
              </w:rPr>
              <w:t>Անցյալ տարվա համեմատ, C</w:t>
            </w:r>
            <w:r w:rsidRPr="00DB03FE">
              <w:rPr>
                <w:lang w:val="hy-AM"/>
              </w:rPr>
              <w:t>E</w:t>
            </w:r>
            <w:r w:rsidRPr="00E04712">
              <w:rPr>
                <w:lang w:val="hy-AM"/>
              </w:rPr>
              <w:t xml:space="preserve">S բաղադրիչը նախորդից </w:t>
            </w:r>
            <w:r w:rsidRPr="00260C43">
              <w:rPr>
                <w:color w:val="538135" w:themeColor="accent6" w:themeShade="BF"/>
                <w:lang w:val="hy-AM"/>
              </w:rPr>
              <w:t>բարձր է 0.41-ով</w:t>
            </w:r>
            <w:r w:rsidRPr="00E04712">
              <w:rPr>
                <w:lang w:val="hy-AM"/>
              </w:rPr>
              <w:t>։ Այն զգալիորեն աճել է համարյա բոլոր հարցվողների կարծիքով</w:t>
            </w:r>
            <w:r>
              <w:rPr>
                <w:lang w:val="hy-AM"/>
              </w:rPr>
              <w:t>, բացառությամբ՝ շրջանավարտների։</w:t>
            </w:r>
          </w:p>
          <w:p w14:paraId="36BCD711" w14:textId="77777777" w:rsidR="00DB03FE" w:rsidRDefault="00DB03FE" w:rsidP="00A93ACB">
            <w:pPr>
              <w:spacing w:after="60"/>
              <w:rPr>
                <w:lang w:val="hy-AM"/>
              </w:rPr>
            </w:pPr>
            <w:r w:rsidRPr="00A30ECA">
              <w:rPr>
                <w:lang w:val="hy-AM"/>
              </w:rPr>
              <w:t xml:space="preserve">Հարցվողների </w:t>
            </w:r>
            <w:r>
              <w:rPr>
                <w:lang w:val="hy-AM"/>
              </w:rPr>
              <w:t>հիմնական նկատառումներն ու խորհուրդները հետևյալն էին․</w:t>
            </w:r>
          </w:p>
          <w:p w14:paraId="05937E3F" w14:textId="77777777" w:rsidR="00DB03FE" w:rsidRDefault="00DB03FE" w:rsidP="00A93AC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lang w:val="hy-AM"/>
              </w:rPr>
            </w:pPr>
            <w:r>
              <w:rPr>
                <w:lang w:val="hy-AM"/>
              </w:rPr>
              <w:t>ա</w:t>
            </w:r>
            <w:r w:rsidRPr="00457A1C">
              <w:rPr>
                <w:lang w:val="hy-AM"/>
              </w:rPr>
              <w:t>վելի լավ/շատ պրակտիկա</w:t>
            </w:r>
            <w:r>
              <w:t xml:space="preserve"> (6)</w:t>
            </w:r>
          </w:p>
          <w:p w14:paraId="065EECEA" w14:textId="77777777" w:rsidR="00DB03FE" w:rsidRDefault="00DB03FE" w:rsidP="00A93AC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lang w:val="hy-AM"/>
              </w:rPr>
            </w:pPr>
            <w:r w:rsidRPr="003255AB">
              <w:rPr>
                <w:lang w:val="hy-AM"/>
              </w:rPr>
              <w:t>բարելավ</w:t>
            </w:r>
            <w:r>
              <w:rPr>
                <w:lang w:val="hy-AM"/>
              </w:rPr>
              <w:t>ել ք</w:t>
            </w:r>
            <w:r w:rsidRPr="003255AB">
              <w:rPr>
                <w:lang w:val="hy-AM"/>
              </w:rPr>
              <w:t xml:space="preserve">ննության </w:t>
            </w:r>
            <w:r>
              <w:rPr>
                <w:lang w:val="hy-AM"/>
              </w:rPr>
              <w:t>մեթոդները/</w:t>
            </w:r>
            <w:r w:rsidRPr="003255AB">
              <w:rPr>
                <w:lang w:val="hy-AM"/>
              </w:rPr>
              <w:t>եղանակներ</w:t>
            </w:r>
            <w:r>
              <w:rPr>
                <w:lang w:val="hy-AM"/>
              </w:rPr>
              <w:t>ը</w:t>
            </w:r>
            <w:r>
              <w:t xml:space="preserve"> (5)</w:t>
            </w:r>
          </w:p>
          <w:p w14:paraId="02B37F10" w14:textId="77777777" w:rsidR="00DB03FE" w:rsidRDefault="00DB03FE" w:rsidP="00A93AC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lang w:val="hy-AM"/>
              </w:rPr>
            </w:pPr>
            <w:r w:rsidRPr="00066B36">
              <w:rPr>
                <w:lang w:val="hy-AM"/>
              </w:rPr>
              <w:t xml:space="preserve">ընդլայնել </w:t>
            </w:r>
            <w:proofErr w:type="spellStart"/>
            <w:r w:rsidRPr="00066B36">
              <w:rPr>
                <w:lang w:val="hy-AM"/>
              </w:rPr>
              <w:t>միջմշակութային</w:t>
            </w:r>
            <w:proofErr w:type="spellEnd"/>
            <w:r w:rsidRPr="00066B36">
              <w:rPr>
                <w:lang w:val="hy-AM"/>
              </w:rPr>
              <w:t xml:space="preserve"> փոխանակումը, աջակցել բազմազանությանը (3)</w:t>
            </w:r>
          </w:p>
          <w:p w14:paraId="3B1E492D" w14:textId="77777777" w:rsidR="00DB03FE" w:rsidRDefault="00DB03FE" w:rsidP="00A93AC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lang w:val="hy-AM"/>
              </w:rPr>
            </w:pPr>
            <w:r w:rsidRPr="003255AB">
              <w:rPr>
                <w:lang w:val="hy-AM"/>
              </w:rPr>
              <w:t>բարելավ</w:t>
            </w:r>
            <w:r>
              <w:rPr>
                <w:lang w:val="hy-AM"/>
              </w:rPr>
              <w:t>ել տարածքը մասնաշենքերում (2)</w:t>
            </w:r>
          </w:p>
          <w:p w14:paraId="13EA1E51" w14:textId="77777777" w:rsidR="00DB03FE" w:rsidRPr="00CA0B1A" w:rsidRDefault="00DB03FE" w:rsidP="00A93ACB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lang w:val="hy-AM"/>
              </w:rPr>
            </w:pPr>
            <w:r w:rsidRPr="00AC1D42">
              <w:rPr>
                <w:lang w:val="hy-AM"/>
              </w:rPr>
              <w:t>կազմակերպել ավելի շատ միջոցառումներ և էքսկուրսիաներ:</w:t>
            </w:r>
          </w:p>
        </w:tc>
        <w:tc>
          <w:tcPr>
            <w:tcW w:w="4580" w:type="dxa"/>
          </w:tcPr>
          <w:p w14:paraId="1799C12D" w14:textId="77777777" w:rsidR="00DB03FE" w:rsidRDefault="00DB03FE" w:rsidP="00A93ACB">
            <w:pPr>
              <w:spacing w:after="60"/>
              <w:rPr>
                <w:lang w:val="en-GB"/>
              </w:rPr>
            </w:pPr>
            <w:r w:rsidRPr="00D84949">
              <w:rPr>
                <w:lang w:val="en-GB"/>
              </w:rPr>
              <w:t>Compared to last year</w:t>
            </w:r>
            <w:r>
              <w:rPr>
                <w:lang w:val="en-GB"/>
              </w:rPr>
              <w:t xml:space="preserve"> results</w:t>
            </w:r>
            <w:r w:rsidRPr="00D84949">
              <w:rPr>
                <w:lang w:val="en-GB"/>
              </w:rPr>
              <w:t xml:space="preserve">, the CES component is </w:t>
            </w:r>
            <w:r w:rsidRPr="00260C43">
              <w:rPr>
                <w:color w:val="538135" w:themeColor="accent6" w:themeShade="BF"/>
                <w:lang w:val="en-GB"/>
              </w:rPr>
              <w:t>higher by 0.41</w:t>
            </w:r>
            <w:r w:rsidRPr="00D84949">
              <w:rPr>
                <w:lang w:val="en-GB"/>
              </w:rPr>
              <w:t>. It has increased significantly according to almost all respondents, except for graduates.</w:t>
            </w:r>
          </w:p>
          <w:p w14:paraId="00949439" w14:textId="77777777" w:rsidR="00DB03FE" w:rsidRDefault="00DB03FE" w:rsidP="00A93ACB">
            <w:pPr>
              <w:spacing w:after="60"/>
            </w:pPr>
            <w:r>
              <w:t>Respondents raised the following issues:</w:t>
            </w:r>
          </w:p>
          <w:p w14:paraId="5F06FD03" w14:textId="77777777" w:rsidR="00DB03FE" w:rsidRPr="00EE1251" w:rsidRDefault="00DB03FE" w:rsidP="00A93ACB">
            <w:pPr>
              <w:pStyle w:val="ListParagraph"/>
              <w:numPr>
                <w:ilvl w:val="0"/>
                <w:numId w:val="2"/>
              </w:numPr>
              <w:ind w:left="426" w:hanging="284"/>
            </w:pPr>
            <w:r>
              <w:t>more and better internships/practice (6)</w:t>
            </w:r>
          </w:p>
          <w:p w14:paraId="2A253FAC" w14:textId="77777777" w:rsidR="00DB03FE" w:rsidRDefault="00DB03FE" w:rsidP="00A93ACB">
            <w:pPr>
              <w:pStyle w:val="ListParagraph"/>
              <w:numPr>
                <w:ilvl w:val="0"/>
                <w:numId w:val="2"/>
              </w:numPr>
              <w:ind w:left="426" w:hanging="284"/>
            </w:pPr>
            <w:r>
              <w:t>i</w:t>
            </w:r>
            <w:r w:rsidRPr="00B30CA8">
              <w:t>mprove examination methods</w:t>
            </w:r>
            <w:r>
              <w:t xml:space="preserve"> (5)</w:t>
            </w:r>
          </w:p>
          <w:p w14:paraId="720877C8" w14:textId="77777777" w:rsidR="00DB03FE" w:rsidRDefault="00DB03FE" w:rsidP="00A93ACB">
            <w:pPr>
              <w:pStyle w:val="ListParagraph"/>
              <w:numPr>
                <w:ilvl w:val="0"/>
                <w:numId w:val="2"/>
              </w:numPr>
              <w:ind w:left="426" w:hanging="284"/>
            </w:pPr>
            <w:r>
              <w:t xml:space="preserve">increase </w:t>
            </w:r>
            <w:r w:rsidRPr="00BC373D">
              <w:t>practical</w:t>
            </w:r>
            <w:r>
              <w:t xml:space="preserve"> class hours in </w:t>
            </w:r>
            <w:proofErr w:type="gramStart"/>
            <w:r>
              <w:t>hospitals</w:t>
            </w:r>
            <w:proofErr w:type="gramEnd"/>
          </w:p>
          <w:p w14:paraId="49E82CBD" w14:textId="77777777" w:rsidR="00DB03FE" w:rsidRDefault="00DB03FE" w:rsidP="00A93ACB">
            <w:pPr>
              <w:pStyle w:val="ListParagraph"/>
              <w:numPr>
                <w:ilvl w:val="0"/>
                <w:numId w:val="2"/>
              </w:numPr>
              <w:ind w:left="426" w:hanging="284"/>
            </w:pPr>
            <w:r>
              <w:t>enhance intercultural exchange, support diversity (3)</w:t>
            </w:r>
          </w:p>
          <w:p w14:paraId="6B093CE1" w14:textId="77777777" w:rsidR="00DB03FE" w:rsidRDefault="00DB03FE" w:rsidP="00A93ACB">
            <w:pPr>
              <w:pStyle w:val="ListParagraph"/>
              <w:numPr>
                <w:ilvl w:val="0"/>
                <w:numId w:val="2"/>
              </w:numPr>
              <w:ind w:left="426" w:hanging="284"/>
            </w:pPr>
            <w:r>
              <w:t xml:space="preserve">enhance space in the buildings (2) </w:t>
            </w:r>
          </w:p>
          <w:p w14:paraId="5C7164FE" w14:textId="77777777" w:rsidR="00DB03FE" w:rsidRDefault="00DB03FE" w:rsidP="00A93ACB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lang w:val="hy-AM"/>
              </w:rPr>
            </w:pPr>
            <w:r>
              <w:t xml:space="preserve">organize more events and excursions. </w:t>
            </w:r>
          </w:p>
        </w:tc>
      </w:tr>
    </w:tbl>
    <w:p w14:paraId="500D71A9" w14:textId="77777777" w:rsidR="00DB03FE" w:rsidRPr="00DB03FE" w:rsidRDefault="00DB03FE" w:rsidP="00DE2224">
      <w:pPr>
        <w:jc w:val="both"/>
      </w:pPr>
    </w:p>
    <w:sectPr w:rsidR="00DB03FE" w:rsidRPr="00DB03FE" w:rsidSect="00F84241">
      <w:headerReference w:type="first" r:id="rId14"/>
      <w:pgSz w:w="12240" w:h="15840"/>
      <w:pgMar w:top="992" w:right="96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9365" w14:textId="77777777" w:rsidR="00EF6D40" w:rsidRDefault="00EF6D40" w:rsidP="004F565E">
      <w:pPr>
        <w:spacing w:after="0" w:line="240" w:lineRule="auto"/>
      </w:pPr>
      <w:r>
        <w:separator/>
      </w:r>
    </w:p>
  </w:endnote>
  <w:endnote w:type="continuationSeparator" w:id="0">
    <w:p w14:paraId="5996420B" w14:textId="77777777" w:rsidR="00EF6D40" w:rsidRDefault="00EF6D40" w:rsidP="004F565E">
      <w:pPr>
        <w:spacing w:after="0" w:line="240" w:lineRule="auto"/>
      </w:pPr>
      <w:r>
        <w:continuationSeparator/>
      </w:r>
    </w:p>
  </w:endnote>
  <w:endnote w:type="continuationNotice" w:id="1">
    <w:p w14:paraId="1AE1EE33" w14:textId="77777777" w:rsidR="00EF6D40" w:rsidRDefault="00EF6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C037" w14:textId="77777777" w:rsidR="00EF6D40" w:rsidRDefault="00EF6D40" w:rsidP="004F565E">
      <w:pPr>
        <w:spacing w:after="0" w:line="240" w:lineRule="auto"/>
      </w:pPr>
      <w:r>
        <w:separator/>
      </w:r>
    </w:p>
  </w:footnote>
  <w:footnote w:type="continuationSeparator" w:id="0">
    <w:p w14:paraId="620246BB" w14:textId="77777777" w:rsidR="00EF6D40" w:rsidRDefault="00EF6D40" w:rsidP="004F565E">
      <w:pPr>
        <w:spacing w:after="0" w:line="240" w:lineRule="auto"/>
      </w:pPr>
      <w:r>
        <w:continuationSeparator/>
      </w:r>
    </w:p>
  </w:footnote>
  <w:footnote w:type="continuationNotice" w:id="1">
    <w:p w14:paraId="6A2C21B4" w14:textId="77777777" w:rsidR="00EF6D40" w:rsidRDefault="00EF6D40">
      <w:pPr>
        <w:spacing w:after="0" w:line="240" w:lineRule="auto"/>
      </w:pPr>
    </w:p>
  </w:footnote>
  <w:footnote w:id="2">
    <w:p w14:paraId="229BB158" w14:textId="26D44503" w:rsidR="00C774CD" w:rsidRPr="00DD28D7" w:rsidRDefault="00C774CD" w:rsidP="00C774CD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47131C">
        <w:rPr>
          <w:sz w:val="18"/>
          <w:szCs w:val="18"/>
          <w:lang w:val="hy-AM"/>
        </w:rPr>
        <w:t>Շուկայագիտության մեջ ընդունված՝ NPS (</w:t>
      </w:r>
      <w:proofErr w:type="spellStart"/>
      <w:r w:rsidRPr="0047131C">
        <w:rPr>
          <w:sz w:val="18"/>
          <w:szCs w:val="18"/>
          <w:lang w:val="hy-AM"/>
        </w:rPr>
        <w:t>Net</w:t>
      </w:r>
      <w:proofErr w:type="spellEnd"/>
      <w:r w:rsidRPr="0047131C">
        <w:rPr>
          <w:sz w:val="18"/>
          <w:szCs w:val="18"/>
          <w:lang w:val="hy-AM"/>
        </w:rPr>
        <w:t xml:space="preserve"> </w:t>
      </w:r>
      <w:proofErr w:type="spellStart"/>
      <w:r w:rsidRPr="0047131C">
        <w:rPr>
          <w:sz w:val="18"/>
          <w:szCs w:val="18"/>
          <w:lang w:val="hy-AM"/>
        </w:rPr>
        <w:t>Promoter</w:t>
      </w:r>
      <w:proofErr w:type="spellEnd"/>
      <w:r w:rsidRPr="0047131C">
        <w:rPr>
          <w:sz w:val="18"/>
          <w:szCs w:val="18"/>
          <w:lang w:val="hy-AM"/>
        </w:rPr>
        <w:t xml:space="preserve"> </w:t>
      </w:r>
      <w:proofErr w:type="spellStart"/>
      <w:r w:rsidRPr="0047131C">
        <w:rPr>
          <w:sz w:val="18"/>
          <w:szCs w:val="18"/>
          <w:lang w:val="hy-AM"/>
        </w:rPr>
        <w:t>Score</w:t>
      </w:r>
      <w:proofErr w:type="spellEnd"/>
      <w:r w:rsidRPr="0047131C">
        <w:rPr>
          <w:sz w:val="18"/>
          <w:szCs w:val="18"/>
          <w:lang w:val="hy-AM"/>
        </w:rPr>
        <w:t xml:space="preserve">), CSAT (Customer </w:t>
      </w:r>
      <w:proofErr w:type="spellStart"/>
      <w:r w:rsidRPr="0047131C">
        <w:rPr>
          <w:sz w:val="18"/>
          <w:szCs w:val="18"/>
          <w:lang w:val="hy-AM"/>
        </w:rPr>
        <w:t>Satisfaction</w:t>
      </w:r>
      <w:proofErr w:type="spellEnd"/>
      <w:r w:rsidRPr="0047131C">
        <w:rPr>
          <w:sz w:val="18"/>
          <w:szCs w:val="18"/>
          <w:lang w:val="hy-AM"/>
        </w:rPr>
        <w:t xml:space="preserve"> </w:t>
      </w:r>
      <w:proofErr w:type="spellStart"/>
      <w:r w:rsidRPr="0047131C">
        <w:rPr>
          <w:sz w:val="18"/>
          <w:szCs w:val="18"/>
          <w:lang w:val="hy-AM"/>
        </w:rPr>
        <w:t>Score</w:t>
      </w:r>
      <w:proofErr w:type="spellEnd"/>
      <w:r w:rsidRPr="0047131C">
        <w:rPr>
          <w:sz w:val="18"/>
          <w:szCs w:val="18"/>
          <w:lang w:val="hy-AM"/>
        </w:rPr>
        <w:t>) և CE</w:t>
      </w:r>
      <w:r>
        <w:rPr>
          <w:sz w:val="18"/>
          <w:szCs w:val="18"/>
        </w:rPr>
        <w:t>S</w:t>
      </w:r>
      <w:r w:rsidRPr="0047131C">
        <w:rPr>
          <w:sz w:val="18"/>
          <w:szCs w:val="18"/>
          <w:lang w:val="hy-AM"/>
        </w:rPr>
        <w:t xml:space="preserve"> (Customer </w:t>
      </w:r>
      <w:proofErr w:type="spellStart"/>
      <w:r w:rsidRPr="0047131C">
        <w:rPr>
          <w:sz w:val="18"/>
          <w:szCs w:val="18"/>
          <w:lang w:val="hy-AM"/>
        </w:rPr>
        <w:t>Effort</w:t>
      </w:r>
      <w:proofErr w:type="spellEnd"/>
      <w:r w:rsidRPr="0047131C">
        <w:rPr>
          <w:sz w:val="18"/>
          <w:szCs w:val="18"/>
          <w:lang w:val="hy-AM"/>
        </w:rPr>
        <w:t xml:space="preserve"> </w:t>
      </w:r>
      <w:proofErr w:type="spellStart"/>
      <w:r w:rsidRPr="0047131C">
        <w:rPr>
          <w:sz w:val="18"/>
          <w:szCs w:val="18"/>
          <w:lang w:val="hy-AM"/>
        </w:rPr>
        <w:t>Score</w:t>
      </w:r>
      <w:proofErr w:type="spellEnd"/>
      <w:r w:rsidRPr="0047131C">
        <w:rPr>
          <w:sz w:val="18"/>
          <w:szCs w:val="18"/>
          <w:lang w:val="hy-AM"/>
        </w:rPr>
        <w:t>)</w:t>
      </w:r>
      <w:r w:rsidR="002618B1">
        <w:rPr>
          <w:sz w:val="18"/>
          <w:szCs w:val="18"/>
        </w:rPr>
        <w:t xml:space="preserve"> </w:t>
      </w:r>
      <w:r w:rsidR="002618B1">
        <w:rPr>
          <w:sz w:val="18"/>
          <w:szCs w:val="18"/>
          <w:lang w:val="hy-AM"/>
        </w:rPr>
        <w:t>չափանիշներ</w:t>
      </w:r>
      <w:r w:rsidR="00323BB7">
        <w:rPr>
          <w:sz w:val="18"/>
          <w:szCs w:val="18"/>
          <w:lang w:val="hy-AM"/>
        </w:rPr>
        <w:t>ն օգտագործվում են</w:t>
      </w:r>
      <w:r w:rsidRPr="0047131C">
        <w:rPr>
          <w:sz w:val="18"/>
          <w:szCs w:val="18"/>
          <w:lang w:val="hy-AM"/>
        </w:rPr>
        <w:t xml:space="preserve"> հաճախորդի հավատարմությ</w:t>
      </w:r>
      <w:r w:rsidR="00465A4B">
        <w:rPr>
          <w:sz w:val="18"/>
          <w:szCs w:val="18"/>
          <w:lang w:val="hy-AM"/>
        </w:rPr>
        <w:t>ու</w:t>
      </w:r>
      <w:r w:rsidRPr="0047131C">
        <w:rPr>
          <w:sz w:val="18"/>
          <w:szCs w:val="18"/>
          <w:lang w:val="hy-AM"/>
        </w:rPr>
        <w:t>ն</w:t>
      </w:r>
      <w:r w:rsidR="00465A4B">
        <w:rPr>
          <w:sz w:val="18"/>
          <w:szCs w:val="18"/>
          <w:lang w:val="hy-AM"/>
        </w:rPr>
        <w:t>ը</w:t>
      </w:r>
      <w:r w:rsidRPr="0047131C">
        <w:rPr>
          <w:sz w:val="18"/>
          <w:szCs w:val="18"/>
          <w:lang w:val="hy-AM"/>
        </w:rPr>
        <w:t>, բավարարվածությ</w:t>
      </w:r>
      <w:r w:rsidR="00465A4B">
        <w:rPr>
          <w:sz w:val="18"/>
          <w:szCs w:val="18"/>
          <w:lang w:val="hy-AM"/>
        </w:rPr>
        <w:t>ու</w:t>
      </w:r>
      <w:r w:rsidRPr="0047131C">
        <w:rPr>
          <w:sz w:val="18"/>
          <w:szCs w:val="18"/>
          <w:lang w:val="hy-AM"/>
        </w:rPr>
        <w:t>ն</w:t>
      </w:r>
      <w:r w:rsidR="00465A4B">
        <w:rPr>
          <w:sz w:val="18"/>
          <w:szCs w:val="18"/>
          <w:lang w:val="hy-AM"/>
        </w:rPr>
        <w:t>ը</w:t>
      </w:r>
      <w:r w:rsidRPr="0047131C">
        <w:rPr>
          <w:sz w:val="18"/>
          <w:szCs w:val="18"/>
          <w:lang w:val="hy-AM"/>
        </w:rPr>
        <w:t xml:space="preserve"> և ջանքեր</w:t>
      </w:r>
      <w:r w:rsidR="00465A4B">
        <w:rPr>
          <w:sz w:val="18"/>
          <w:szCs w:val="18"/>
          <w:lang w:val="hy-AM"/>
        </w:rPr>
        <w:t>ը</w:t>
      </w:r>
      <w:r w:rsidRPr="0047131C">
        <w:rPr>
          <w:sz w:val="18"/>
          <w:szCs w:val="18"/>
          <w:lang w:val="hy-AM"/>
        </w:rPr>
        <w:t xml:space="preserve"> չափ</w:t>
      </w:r>
      <w:r w:rsidR="00465A4B">
        <w:rPr>
          <w:sz w:val="18"/>
          <w:szCs w:val="18"/>
          <w:lang w:val="hy-AM"/>
        </w:rPr>
        <w:t>ելու</w:t>
      </w:r>
      <w:r w:rsidRPr="0047131C">
        <w:rPr>
          <w:sz w:val="18"/>
          <w:szCs w:val="18"/>
          <w:lang w:val="hy-AM"/>
        </w:rPr>
        <w:t xml:space="preserve"> </w:t>
      </w:r>
      <w:r w:rsidR="00465A4B">
        <w:rPr>
          <w:sz w:val="18"/>
          <w:szCs w:val="18"/>
          <w:lang w:val="hy-AM"/>
        </w:rPr>
        <w:t>համար</w:t>
      </w:r>
      <w:r w:rsidRPr="0047131C">
        <w:rPr>
          <w:sz w:val="18"/>
          <w:szCs w:val="18"/>
          <w:lang w:val="hy-AM"/>
        </w:rPr>
        <w:t>։</w:t>
      </w:r>
    </w:p>
  </w:footnote>
  <w:footnote w:id="3">
    <w:p w14:paraId="3C4ABE65" w14:textId="77777777" w:rsidR="00C774CD" w:rsidRPr="00FB1036" w:rsidRDefault="00C774CD" w:rsidP="00C774CD">
      <w:pPr>
        <w:pStyle w:val="FootnoteText"/>
      </w:pPr>
      <w:r>
        <w:rPr>
          <w:rStyle w:val="FootnoteReference"/>
        </w:rPr>
        <w:footnoteRef/>
      </w:r>
      <w:r w:rsidRPr="000E4081">
        <w:rPr>
          <w:lang w:val="hy-AM"/>
        </w:rPr>
        <w:t xml:space="preserve"> </w:t>
      </w:r>
      <w:r w:rsidRPr="00FB1036">
        <w:rPr>
          <w:sz w:val="18"/>
          <w:szCs w:val="18"/>
        </w:rPr>
        <w:t>NPS (Net Promoter Score), CSAT (Customer Satisfaction Score) and CES (Customer Effort Score) are approaches to measuring customer loyalty, satisfaction and effort</w:t>
      </w:r>
      <w:r>
        <w:rPr>
          <w:sz w:val="18"/>
          <w:szCs w:val="18"/>
        </w:rPr>
        <w:t xml:space="preserve"> widely used in </w:t>
      </w:r>
      <w:r w:rsidRPr="00FB1036">
        <w:rPr>
          <w:sz w:val="18"/>
          <w:szCs w:val="18"/>
        </w:rPr>
        <w:t>marketing.</w:t>
      </w:r>
    </w:p>
  </w:footnote>
  <w:footnote w:id="4">
    <w:p w14:paraId="32921BE1" w14:textId="77777777" w:rsidR="001E5537" w:rsidRDefault="001E5537" w:rsidP="001E55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63336">
          <w:rPr>
            <w:rStyle w:val="Hyperlink"/>
          </w:rPr>
          <w:t>https://customer.guru/net-promoter-score/industry/education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D576" w14:textId="5C1F1AB8" w:rsidR="0050742D" w:rsidRDefault="004E42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50F217" wp14:editId="7E4190DC">
          <wp:simplePos x="0" y="0"/>
          <wp:positionH relativeFrom="margin">
            <wp:posOffset>5619799</wp:posOffset>
          </wp:positionH>
          <wp:positionV relativeFrom="paragraph">
            <wp:posOffset>112444</wp:posOffset>
          </wp:positionV>
          <wp:extent cx="702000" cy="702000"/>
          <wp:effectExtent l="0" t="0" r="3175" b="3175"/>
          <wp:wrapSquare wrapText="bothSides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70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ACE"/>
    <w:multiLevelType w:val="hybridMultilevel"/>
    <w:tmpl w:val="3D0C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1043"/>
    <w:multiLevelType w:val="hybridMultilevel"/>
    <w:tmpl w:val="1CF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826982">
    <w:abstractNumId w:val="0"/>
  </w:num>
  <w:num w:numId="2" w16cid:durableId="31611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MjW3tDSyMDIyN7dQ0lEKTi0uzszPAymwrAUAEXAY5ywAAAA="/>
  </w:docVars>
  <w:rsids>
    <w:rsidRoot w:val="3114DE6A"/>
    <w:rsid w:val="00002F9B"/>
    <w:rsid w:val="00003591"/>
    <w:rsid w:val="000046E6"/>
    <w:rsid w:val="00022ABD"/>
    <w:rsid w:val="000238EC"/>
    <w:rsid w:val="000246A8"/>
    <w:rsid w:val="00030001"/>
    <w:rsid w:val="000317F0"/>
    <w:rsid w:val="00032280"/>
    <w:rsid w:val="000326AD"/>
    <w:rsid w:val="000329E6"/>
    <w:rsid w:val="00032D75"/>
    <w:rsid w:val="00041443"/>
    <w:rsid w:val="00042D66"/>
    <w:rsid w:val="0004584A"/>
    <w:rsid w:val="00050BF3"/>
    <w:rsid w:val="000522AA"/>
    <w:rsid w:val="00054AE8"/>
    <w:rsid w:val="0006061E"/>
    <w:rsid w:val="00065CD5"/>
    <w:rsid w:val="00066B36"/>
    <w:rsid w:val="00067F1B"/>
    <w:rsid w:val="000705FF"/>
    <w:rsid w:val="00075970"/>
    <w:rsid w:val="00076A87"/>
    <w:rsid w:val="00076F11"/>
    <w:rsid w:val="00077DDB"/>
    <w:rsid w:val="00085085"/>
    <w:rsid w:val="00086769"/>
    <w:rsid w:val="00087797"/>
    <w:rsid w:val="00092164"/>
    <w:rsid w:val="000937DD"/>
    <w:rsid w:val="0009396F"/>
    <w:rsid w:val="00097806"/>
    <w:rsid w:val="000A1A3C"/>
    <w:rsid w:val="000A5DB1"/>
    <w:rsid w:val="000A7E51"/>
    <w:rsid w:val="000B0FB9"/>
    <w:rsid w:val="000B3047"/>
    <w:rsid w:val="000B4AC6"/>
    <w:rsid w:val="000C0AA4"/>
    <w:rsid w:val="000C0DDC"/>
    <w:rsid w:val="000C11F8"/>
    <w:rsid w:val="000C1297"/>
    <w:rsid w:val="000C2725"/>
    <w:rsid w:val="000C6247"/>
    <w:rsid w:val="000C6F58"/>
    <w:rsid w:val="000D7983"/>
    <w:rsid w:val="000E10D1"/>
    <w:rsid w:val="000E1DDF"/>
    <w:rsid w:val="000E4081"/>
    <w:rsid w:val="000E7FE0"/>
    <w:rsid w:val="000F26CC"/>
    <w:rsid w:val="000F2873"/>
    <w:rsid w:val="000F2A1F"/>
    <w:rsid w:val="000F54EC"/>
    <w:rsid w:val="000F5633"/>
    <w:rsid w:val="000F65D2"/>
    <w:rsid w:val="000F7E66"/>
    <w:rsid w:val="00107B52"/>
    <w:rsid w:val="00110EA9"/>
    <w:rsid w:val="001119E7"/>
    <w:rsid w:val="00111DED"/>
    <w:rsid w:val="00113C8A"/>
    <w:rsid w:val="00116F17"/>
    <w:rsid w:val="001205D8"/>
    <w:rsid w:val="00124FD8"/>
    <w:rsid w:val="0012560B"/>
    <w:rsid w:val="00125F93"/>
    <w:rsid w:val="001274CB"/>
    <w:rsid w:val="00130F26"/>
    <w:rsid w:val="00131B0F"/>
    <w:rsid w:val="00133415"/>
    <w:rsid w:val="00133BEE"/>
    <w:rsid w:val="00135921"/>
    <w:rsid w:val="00135BA3"/>
    <w:rsid w:val="00141FA4"/>
    <w:rsid w:val="00144DEC"/>
    <w:rsid w:val="00150259"/>
    <w:rsid w:val="001508CE"/>
    <w:rsid w:val="001511DB"/>
    <w:rsid w:val="00152764"/>
    <w:rsid w:val="001537BE"/>
    <w:rsid w:val="00154634"/>
    <w:rsid w:val="00161341"/>
    <w:rsid w:val="0016178C"/>
    <w:rsid w:val="00162755"/>
    <w:rsid w:val="00164B77"/>
    <w:rsid w:val="0017067D"/>
    <w:rsid w:val="001728C6"/>
    <w:rsid w:val="001736CB"/>
    <w:rsid w:val="00175C3D"/>
    <w:rsid w:val="001764B5"/>
    <w:rsid w:val="00176FE2"/>
    <w:rsid w:val="001775A1"/>
    <w:rsid w:val="00177BB6"/>
    <w:rsid w:val="0018106A"/>
    <w:rsid w:val="00183FD5"/>
    <w:rsid w:val="0018456A"/>
    <w:rsid w:val="00187EE7"/>
    <w:rsid w:val="001906B5"/>
    <w:rsid w:val="001914ED"/>
    <w:rsid w:val="00195AF5"/>
    <w:rsid w:val="00195D11"/>
    <w:rsid w:val="0019696C"/>
    <w:rsid w:val="00197853"/>
    <w:rsid w:val="001A0B69"/>
    <w:rsid w:val="001A28FD"/>
    <w:rsid w:val="001A343E"/>
    <w:rsid w:val="001A4667"/>
    <w:rsid w:val="001A7926"/>
    <w:rsid w:val="001B52B0"/>
    <w:rsid w:val="001B5C6C"/>
    <w:rsid w:val="001B5ECD"/>
    <w:rsid w:val="001B6C94"/>
    <w:rsid w:val="001B7E8B"/>
    <w:rsid w:val="001C0D70"/>
    <w:rsid w:val="001C1540"/>
    <w:rsid w:val="001C1E55"/>
    <w:rsid w:val="001C2A03"/>
    <w:rsid w:val="001C4CC7"/>
    <w:rsid w:val="001C4E74"/>
    <w:rsid w:val="001C4EA7"/>
    <w:rsid w:val="001C67F3"/>
    <w:rsid w:val="001C6816"/>
    <w:rsid w:val="001D365A"/>
    <w:rsid w:val="001D51B5"/>
    <w:rsid w:val="001D522F"/>
    <w:rsid w:val="001D5573"/>
    <w:rsid w:val="001D73CB"/>
    <w:rsid w:val="001E0A93"/>
    <w:rsid w:val="001E222C"/>
    <w:rsid w:val="001E3E53"/>
    <w:rsid w:val="001E5537"/>
    <w:rsid w:val="001E6C23"/>
    <w:rsid w:val="001E7009"/>
    <w:rsid w:val="001F0A1F"/>
    <w:rsid w:val="001F1786"/>
    <w:rsid w:val="001F3DE7"/>
    <w:rsid w:val="001F65D9"/>
    <w:rsid w:val="001F779B"/>
    <w:rsid w:val="00200686"/>
    <w:rsid w:val="00201C58"/>
    <w:rsid w:val="00201C8D"/>
    <w:rsid w:val="002021F1"/>
    <w:rsid w:val="002028E8"/>
    <w:rsid w:val="00204141"/>
    <w:rsid w:val="00205DDB"/>
    <w:rsid w:val="00210A40"/>
    <w:rsid w:val="0021331B"/>
    <w:rsid w:val="002133F2"/>
    <w:rsid w:val="002141D6"/>
    <w:rsid w:val="002145E9"/>
    <w:rsid w:val="002146C4"/>
    <w:rsid w:val="002171CD"/>
    <w:rsid w:val="0021767F"/>
    <w:rsid w:val="0022083B"/>
    <w:rsid w:val="002216F8"/>
    <w:rsid w:val="002232BA"/>
    <w:rsid w:val="00223548"/>
    <w:rsid w:val="00223ED5"/>
    <w:rsid w:val="002252C3"/>
    <w:rsid w:val="0022756F"/>
    <w:rsid w:val="002346F6"/>
    <w:rsid w:val="00234B6B"/>
    <w:rsid w:val="00235DC6"/>
    <w:rsid w:val="0023654B"/>
    <w:rsid w:val="00237E0D"/>
    <w:rsid w:val="00240BF6"/>
    <w:rsid w:val="00241361"/>
    <w:rsid w:val="0024151B"/>
    <w:rsid w:val="00241C8E"/>
    <w:rsid w:val="00242084"/>
    <w:rsid w:val="002431E3"/>
    <w:rsid w:val="002432E6"/>
    <w:rsid w:val="00243F7F"/>
    <w:rsid w:val="0024448A"/>
    <w:rsid w:val="00244CDC"/>
    <w:rsid w:val="00245720"/>
    <w:rsid w:val="00246F7B"/>
    <w:rsid w:val="00251522"/>
    <w:rsid w:val="00251B36"/>
    <w:rsid w:val="00251D71"/>
    <w:rsid w:val="00254750"/>
    <w:rsid w:val="00260976"/>
    <w:rsid w:val="00260C43"/>
    <w:rsid w:val="00260F48"/>
    <w:rsid w:val="002618B1"/>
    <w:rsid w:val="00262028"/>
    <w:rsid w:val="00262818"/>
    <w:rsid w:val="0026621F"/>
    <w:rsid w:val="002700FB"/>
    <w:rsid w:val="00271EAF"/>
    <w:rsid w:val="0027268B"/>
    <w:rsid w:val="0027282A"/>
    <w:rsid w:val="00272B3C"/>
    <w:rsid w:val="00277DE3"/>
    <w:rsid w:val="00280CEE"/>
    <w:rsid w:val="002819F9"/>
    <w:rsid w:val="00282A1B"/>
    <w:rsid w:val="00285174"/>
    <w:rsid w:val="002912D0"/>
    <w:rsid w:val="002925D8"/>
    <w:rsid w:val="00294171"/>
    <w:rsid w:val="002950D2"/>
    <w:rsid w:val="002A097F"/>
    <w:rsid w:val="002A261B"/>
    <w:rsid w:val="002A3B77"/>
    <w:rsid w:val="002A402B"/>
    <w:rsid w:val="002A4408"/>
    <w:rsid w:val="002B1194"/>
    <w:rsid w:val="002B3983"/>
    <w:rsid w:val="002B4F29"/>
    <w:rsid w:val="002B703E"/>
    <w:rsid w:val="002C15F0"/>
    <w:rsid w:val="002C1C64"/>
    <w:rsid w:val="002C2453"/>
    <w:rsid w:val="002C2F62"/>
    <w:rsid w:val="002C4E6B"/>
    <w:rsid w:val="002C51E0"/>
    <w:rsid w:val="002D179C"/>
    <w:rsid w:val="002D28EA"/>
    <w:rsid w:val="002D46EE"/>
    <w:rsid w:val="002D4A00"/>
    <w:rsid w:val="002D7C4A"/>
    <w:rsid w:val="002E6744"/>
    <w:rsid w:val="002E6CD6"/>
    <w:rsid w:val="002F0FB1"/>
    <w:rsid w:val="002F4664"/>
    <w:rsid w:val="002F4BBB"/>
    <w:rsid w:val="002F4E2E"/>
    <w:rsid w:val="002F72C9"/>
    <w:rsid w:val="003071D1"/>
    <w:rsid w:val="0031258F"/>
    <w:rsid w:val="00315CE9"/>
    <w:rsid w:val="00315DD3"/>
    <w:rsid w:val="00316E6E"/>
    <w:rsid w:val="0031709C"/>
    <w:rsid w:val="003177C6"/>
    <w:rsid w:val="003206B8"/>
    <w:rsid w:val="00321FA9"/>
    <w:rsid w:val="00323BB7"/>
    <w:rsid w:val="00323D42"/>
    <w:rsid w:val="00324219"/>
    <w:rsid w:val="003255AB"/>
    <w:rsid w:val="0033162C"/>
    <w:rsid w:val="00344CF4"/>
    <w:rsid w:val="00346CC3"/>
    <w:rsid w:val="003471A3"/>
    <w:rsid w:val="003474D0"/>
    <w:rsid w:val="003516CA"/>
    <w:rsid w:val="0035218F"/>
    <w:rsid w:val="00353376"/>
    <w:rsid w:val="00353E82"/>
    <w:rsid w:val="003542B5"/>
    <w:rsid w:val="003544C9"/>
    <w:rsid w:val="0035455D"/>
    <w:rsid w:val="00355CA6"/>
    <w:rsid w:val="00356E07"/>
    <w:rsid w:val="00361D6C"/>
    <w:rsid w:val="00365D88"/>
    <w:rsid w:val="00365E1A"/>
    <w:rsid w:val="00366E2A"/>
    <w:rsid w:val="003715CA"/>
    <w:rsid w:val="0037421A"/>
    <w:rsid w:val="00375FE3"/>
    <w:rsid w:val="00380343"/>
    <w:rsid w:val="00381360"/>
    <w:rsid w:val="003821E2"/>
    <w:rsid w:val="00383BCF"/>
    <w:rsid w:val="00387AF4"/>
    <w:rsid w:val="00394563"/>
    <w:rsid w:val="003947D8"/>
    <w:rsid w:val="00397FAE"/>
    <w:rsid w:val="003A016B"/>
    <w:rsid w:val="003A0A01"/>
    <w:rsid w:val="003A0FD0"/>
    <w:rsid w:val="003A2279"/>
    <w:rsid w:val="003A39FC"/>
    <w:rsid w:val="003A3D74"/>
    <w:rsid w:val="003A4DEE"/>
    <w:rsid w:val="003A5DA7"/>
    <w:rsid w:val="003B169A"/>
    <w:rsid w:val="003B27D7"/>
    <w:rsid w:val="003B4C51"/>
    <w:rsid w:val="003B53B9"/>
    <w:rsid w:val="003B7610"/>
    <w:rsid w:val="003B7FA9"/>
    <w:rsid w:val="003C01BC"/>
    <w:rsid w:val="003C20A4"/>
    <w:rsid w:val="003C3479"/>
    <w:rsid w:val="003C3FD8"/>
    <w:rsid w:val="003C4F66"/>
    <w:rsid w:val="003C57C1"/>
    <w:rsid w:val="003C792C"/>
    <w:rsid w:val="003C79DD"/>
    <w:rsid w:val="003D1A24"/>
    <w:rsid w:val="003D65AC"/>
    <w:rsid w:val="003E052B"/>
    <w:rsid w:val="003E1462"/>
    <w:rsid w:val="003E2E2B"/>
    <w:rsid w:val="003E48F9"/>
    <w:rsid w:val="003F058E"/>
    <w:rsid w:val="003F1E57"/>
    <w:rsid w:val="003F2B14"/>
    <w:rsid w:val="003F369C"/>
    <w:rsid w:val="003F55E5"/>
    <w:rsid w:val="003F6EBE"/>
    <w:rsid w:val="0040212C"/>
    <w:rsid w:val="004025A2"/>
    <w:rsid w:val="0040307C"/>
    <w:rsid w:val="004030EC"/>
    <w:rsid w:val="004043B9"/>
    <w:rsid w:val="004057A1"/>
    <w:rsid w:val="00405FD5"/>
    <w:rsid w:val="004147BF"/>
    <w:rsid w:val="00415390"/>
    <w:rsid w:val="00417285"/>
    <w:rsid w:val="00424C98"/>
    <w:rsid w:val="004325C7"/>
    <w:rsid w:val="00432E6C"/>
    <w:rsid w:val="004379C2"/>
    <w:rsid w:val="00437EF0"/>
    <w:rsid w:val="0044099A"/>
    <w:rsid w:val="00440AFC"/>
    <w:rsid w:val="00443709"/>
    <w:rsid w:val="00443CE1"/>
    <w:rsid w:val="004453B9"/>
    <w:rsid w:val="004500EB"/>
    <w:rsid w:val="00453428"/>
    <w:rsid w:val="00454095"/>
    <w:rsid w:val="00454473"/>
    <w:rsid w:val="0045757A"/>
    <w:rsid w:val="00457A1C"/>
    <w:rsid w:val="0046080D"/>
    <w:rsid w:val="0046115D"/>
    <w:rsid w:val="004638F3"/>
    <w:rsid w:val="00463C3D"/>
    <w:rsid w:val="00465A4B"/>
    <w:rsid w:val="0047131C"/>
    <w:rsid w:val="00471EE9"/>
    <w:rsid w:val="004721C4"/>
    <w:rsid w:val="00475481"/>
    <w:rsid w:val="00475EFD"/>
    <w:rsid w:val="00477B6F"/>
    <w:rsid w:val="004820F3"/>
    <w:rsid w:val="00483813"/>
    <w:rsid w:val="0048389A"/>
    <w:rsid w:val="00484EC0"/>
    <w:rsid w:val="00485E6B"/>
    <w:rsid w:val="0049335F"/>
    <w:rsid w:val="004939A1"/>
    <w:rsid w:val="00495EB8"/>
    <w:rsid w:val="00496873"/>
    <w:rsid w:val="00496896"/>
    <w:rsid w:val="004A0A6B"/>
    <w:rsid w:val="004B23FE"/>
    <w:rsid w:val="004B2DC9"/>
    <w:rsid w:val="004B4119"/>
    <w:rsid w:val="004C214F"/>
    <w:rsid w:val="004C244A"/>
    <w:rsid w:val="004C2665"/>
    <w:rsid w:val="004C3729"/>
    <w:rsid w:val="004C3CA1"/>
    <w:rsid w:val="004C5E11"/>
    <w:rsid w:val="004C75E2"/>
    <w:rsid w:val="004D2429"/>
    <w:rsid w:val="004D5283"/>
    <w:rsid w:val="004D5EED"/>
    <w:rsid w:val="004D60B9"/>
    <w:rsid w:val="004E240E"/>
    <w:rsid w:val="004E3907"/>
    <w:rsid w:val="004E42EB"/>
    <w:rsid w:val="004E6035"/>
    <w:rsid w:val="004E64D0"/>
    <w:rsid w:val="004F1416"/>
    <w:rsid w:val="004F1613"/>
    <w:rsid w:val="004F565E"/>
    <w:rsid w:val="004F7E04"/>
    <w:rsid w:val="00500260"/>
    <w:rsid w:val="0050647B"/>
    <w:rsid w:val="00506AED"/>
    <w:rsid w:val="00506F63"/>
    <w:rsid w:val="0050742D"/>
    <w:rsid w:val="00507AF9"/>
    <w:rsid w:val="00511E12"/>
    <w:rsid w:val="00512888"/>
    <w:rsid w:val="00512FBB"/>
    <w:rsid w:val="0051507D"/>
    <w:rsid w:val="00516D48"/>
    <w:rsid w:val="00517840"/>
    <w:rsid w:val="00517BE2"/>
    <w:rsid w:val="00525C46"/>
    <w:rsid w:val="00526023"/>
    <w:rsid w:val="005260DF"/>
    <w:rsid w:val="005271AB"/>
    <w:rsid w:val="00530030"/>
    <w:rsid w:val="005309F5"/>
    <w:rsid w:val="0053333F"/>
    <w:rsid w:val="005342DA"/>
    <w:rsid w:val="005373D4"/>
    <w:rsid w:val="0053795A"/>
    <w:rsid w:val="005415C2"/>
    <w:rsid w:val="005419CD"/>
    <w:rsid w:val="00544793"/>
    <w:rsid w:val="00545504"/>
    <w:rsid w:val="00545DED"/>
    <w:rsid w:val="00545F2B"/>
    <w:rsid w:val="00552706"/>
    <w:rsid w:val="005538C5"/>
    <w:rsid w:val="00554CC3"/>
    <w:rsid w:val="005552DE"/>
    <w:rsid w:val="00555FD3"/>
    <w:rsid w:val="00556991"/>
    <w:rsid w:val="00564CFC"/>
    <w:rsid w:val="00565446"/>
    <w:rsid w:val="0057275C"/>
    <w:rsid w:val="005734F6"/>
    <w:rsid w:val="005737C5"/>
    <w:rsid w:val="0057388B"/>
    <w:rsid w:val="005835A0"/>
    <w:rsid w:val="005843C1"/>
    <w:rsid w:val="00584A74"/>
    <w:rsid w:val="00584FF9"/>
    <w:rsid w:val="00587177"/>
    <w:rsid w:val="00587DDE"/>
    <w:rsid w:val="00590408"/>
    <w:rsid w:val="005905A1"/>
    <w:rsid w:val="00590FD6"/>
    <w:rsid w:val="005917E5"/>
    <w:rsid w:val="005918D8"/>
    <w:rsid w:val="005945AB"/>
    <w:rsid w:val="00596170"/>
    <w:rsid w:val="005961C7"/>
    <w:rsid w:val="005A388A"/>
    <w:rsid w:val="005A42C8"/>
    <w:rsid w:val="005A6813"/>
    <w:rsid w:val="005A7154"/>
    <w:rsid w:val="005B1C98"/>
    <w:rsid w:val="005B2410"/>
    <w:rsid w:val="005B2DCE"/>
    <w:rsid w:val="005B4BC1"/>
    <w:rsid w:val="005B5ABF"/>
    <w:rsid w:val="005B5DE5"/>
    <w:rsid w:val="005B7182"/>
    <w:rsid w:val="005B7EAC"/>
    <w:rsid w:val="005C259F"/>
    <w:rsid w:val="005C5972"/>
    <w:rsid w:val="005C59AC"/>
    <w:rsid w:val="005D4002"/>
    <w:rsid w:val="005E0E2C"/>
    <w:rsid w:val="005E30EA"/>
    <w:rsid w:val="0060112E"/>
    <w:rsid w:val="00602D35"/>
    <w:rsid w:val="00604717"/>
    <w:rsid w:val="00606211"/>
    <w:rsid w:val="00607741"/>
    <w:rsid w:val="00610111"/>
    <w:rsid w:val="00612257"/>
    <w:rsid w:val="00613BCA"/>
    <w:rsid w:val="00617E7B"/>
    <w:rsid w:val="0062200A"/>
    <w:rsid w:val="006247E1"/>
    <w:rsid w:val="0062518D"/>
    <w:rsid w:val="0063098A"/>
    <w:rsid w:val="006403B7"/>
    <w:rsid w:val="006409CF"/>
    <w:rsid w:val="00641A28"/>
    <w:rsid w:val="006522D9"/>
    <w:rsid w:val="006526C6"/>
    <w:rsid w:val="006543E0"/>
    <w:rsid w:val="00654ABF"/>
    <w:rsid w:val="0065677C"/>
    <w:rsid w:val="00656AF2"/>
    <w:rsid w:val="0065734A"/>
    <w:rsid w:val="00662430"/>
    <w:rsid w:val="00662989"/>
    <w:rsid w:val="00663055"/>
    <w:rsid w:val="0066397F"/>
    <w:rsid w:val="006648F0"/>
    <w:rsid w:val="00670342"/>
    <w:rsid w:val="00673905"/>
    <w:rsid w:val="0067530C"/>
    <w:rsid w:val="0067547C"/>
    <w:rsid w:val="00677522"/>
    <w:rsid w:val="00680229"/>
    <w:rsid w:val="00682858"/>
    <w:rsid w:val="00684716"/>
    <w:rsid w:val="00685255"/>
    <w:rsid w:val="0068680D"/>
    <w:rsid w:val="006908E5"/>
    <w:rsid w:val="00690BA3"/>
    <w:rsid w:val="006913DD"/>
    <w:rsid w:val="00694F8A"/>
    <w:rsid w:val="00695981"/>
    <w:rsid w:val="006966FB"/>
    <w:rsid w:val="00697633"/>
    <w:rsid w:val="006A2A02"/>
    <w:rsid w:val="006A3E91"/>
    <w:rsid w:val="006A6827"/>
    <w:rsid w:val="006A77F6"/>
    <w:rsid w:val="006B4060"/>
    <w:rsid w:val="006B43F6"/>
    <w:rsid w:val="006B6CA8"/>
    <w:rsid w:val="006B77DA"/>
    <w:rsid w:val="006B7D29"/>
    <w:rsid w:val="006B7DAD"/>
    <w:rsid w:val="006C007E"/>
    <w:rsid w:val="006C18E8"/>
    <w:rsid w:val="006C3954"/>
    <w:rsid w:val="006C5422"/>
    <w:rsid w:val="006C7C51"/>
    <w:rsid w:val="006D2863"/>
    <w:rsid w:val="006D45EF"/>
    <w:rsid w:val="006D51B6"/>
    <w:rsid w:val="006E092D"/>
    <w:rsid w:val="006E19A7"/>
    <w:rsid w:val="006E72F8"/>
    <w:rsid w:val="006F0985"/>
    <w:rsid w:val="006F1EA7"/>
    <w:rsid w:val="006F2006"/>
    <w:rsid w:val="0070496B"/>
    <w:rsid w:val="00705A16"/>
    <w:rsid w:val="00707639"/>
    <w:rsid w:val="00710E7E"/>
    <w:rsid w:val="00712651"/>
    <w:rsid w:val="00713F87"/>
    <w:rsid w:val="00714267"/>
    <w:rsid w:val="0071611E"/>
    <w:rsid w:val="007215F6"/>
    <w:rsid w:val="007218CB"/>
    <w:rsid w:val="00722E60"/>
    <w:rsid w:val="007253B1"/>
    <w:rsid w:val="007265D3"/>
    <w:rsid w:val="00726821"/>
    <w:rsid w:val="007278A6"/>
    <w:rsid w:val="00732B41"/>
    <w:rsid w:val="00732B62"/>
    <w:rsid w:val="00733037"/>
    <w:rsid w:val="00733621"/>
    <w:rsid w:val="0073465D"/>
    <w:rsid w:val="00735F8E"/>
    <w:rsid w:val="00737565"/>
    <w:rsid w:val="007414E5"/>
    <w:rsid w:val="00742026"/>
    <w:rsid w:val="0074463C"/>
    <w:rsid w:val="00744E6D"/>
    <w:rsid w:val="00747075"/>
    <w:rsid w:val="00747F37"/>
    <w:rsid w:val="00757B82"/>
    <w:rsid w:val="00760075"/>
    <w:rsid w:val="0076091E"/>
    <w:rsid w:val="007614E1"/>
    <w:rsid w:val="0076219F"/>
    <w:rsid w:val="00762A59"/>
    <w:rsid w:val="00764691"/>
    <w:rsid w:val="00764734"/>
    <w:rsid w:val="007664F8"/>
    <w:rsid w:val="00770C7F"/>
    <w:rsid w:val="00773340"/>
    <w:rsid w:val="00773DD9"/>
    <w:rsid w:val="00773EC0"/>
    <w:rsid w:val="00776954"/>
    <w:rsid w:val="00777C25"/>
    <w:rsid w:val="00781A23"/>
    <w:rsid w:val="007820C0"/>
    <w:rsid w:val="00783388"/>
    <w:rsid w:val="00784DCC"/>
    <w:rsid w:val="00794AE5"/>
    <w:rsid w:val="007A0738"/>
    <w:rsid w:val="007A20F9"/>
    <w:rsid w:val="007A23EC"/>
    <w:rsid w:val="007A43C4"/>
    <w:rsid w:val="007A4454"/>
    <w:rsid w:val="007A5225"/>
    <w:rsid w:val="007A76EF"/>
    <w:rsid w:val="007B00E7"/>
    <w:rsid w:val="007B184C"/>
    <w:rsid w:val="007B1F8F"/>
    <w:rsid w:val="007B7C91"/>
    <w:rsid w:val="007C2B17"/>
    <w:rsid w:val="007C3EB3"/>
    <w:rsid w:val="007C489C"/>
    <w:rsid w:val="007C4AB1"/>
    <w:rsid w:val="007C7E96"/>
    <w:rsid w:val="007D1FAA"/>
    <w:rsid w:val="007D2CBC"/>
    <w:rsid w:val="007D4C73"/>
    <w:rsid w:val="007E0344"/>
    <w:rsid w:val="007E4769"/>
    <w:rsid w:val="007F2DD9"/>
    <w:rsid w:val="007F3F8C"/>
    <w:rsid w:val="007F4099"/>
    <w:rsid w:val="007F7CEF"/>
    <w:rsid w:val="0080055B"/>
    <w:rsid w:val="0080125C"/>
    <w:rsid w:val="008019B3"/>
    <w:rsid w:val="00801F2B"/>
    <w:rsid w:val="00802621"/>
    <w:rsid w:val="008053CA"/>
    <w:rsid w:val="008100DA"/>
    <w:rsid w:val="008115C0"/>
    <w:rsid w:val="008116E2"/>
    <w:rsid w:val="00820E1D"/>
    <w:rsid w:val="008217A7"/>
    <w:rsid w:val="00824788"/>
    <w:rsid w:val="00825E79"/>
    <w:rsid w:val="0083414B"/>
    <w:rsid w:val="008405A2"/>
    <w:rsid w:val="00851AC6"/>
    <w:rsid w:val="00851B2F"/>
    <w:rsid w:val="00851CFA"/>
    <w:rsid w:val="00852073"/>
    <w:rsid w:val="008606A5"/>
    <w:rsid w:val="00860E85"/>
    <w:rsid w:val="008658B4"/>
    <w:rsid w:val="00867EED"/>
    <w:rsid w:val="0087148F"/>
    <w:rsid w:val="00873225"/>
    <w:rsid w:val="00873FD2"/>
    <w:rsid w:val="0087401C"/>
    <w:rsid w:val="00874476"/>
    <w:rsid w:val="00874D88"/>
    <w:rsid w:val="0087791B"/>
    <w:rsid w:val="00880357"/>
    <w:rsid w:val="0088196C"/>
    <w:rsid w:val="00885138"/>
    <w:rsid w:val="00885DF9"/>
    <w:rsid w:val="00887703"/>
    <w:rsid w:val="00890190"/>
    <w:rsid w:val="00892A6C"/>
    <w:rsid w:val="008941A3"/>
    <w:rsid w:val="00895870"/>
    <w:rsid w:val="008976AE"/>
    <w:rsid w:val="008A185B"/>
    <w:rsid w:val="008A266E"/>
    <w:rsid w:val="008A28E0"/>
    <w:rsid w:val="008A2ED9"/>
    <w:rsid w:val="008A3936"/>
    <w:rsid w:val="008A402D"/>
    <w:rsid w:val="008A4842"/>
    <w:rsid w:val="008A514C"/>
    <w:rsid w:val="008A5E5F"/>
    <w:rsid w:val="008B123B"/>
    <w:rsid w:val="008B5AB4"/>
    <w:rsid w:val="008B6E2D"/>
    <w:rsid w:val="008C07F9"/>
    <w:rsid w:val="008C25FD"/>
    <w:rsid w:val="008D6718"/>
    <w:rsid w:val="008D73A6"/>
    <w:rsid w:val="008D7676"/>
    <w:rsid w:val="008E2541"/>
    <w:rsid w:val="008E358C"/>
    <w:rsid w:val="008E5023"/>
    <w:rsid w:val="008E554F"/>
    <w:rsid w:val="008E5575"/>
    <w:rsid w:val="008E74BD"/>
    <w:rsid w:val="008F04EA"/>
    <w:rsid w:val="008F4FD3"/>
    <w:rsid w:val="008F6747"/>
    <w:rsid w:val="00900002"/>
    <w:rsid w:val="00903073"/>
    <w:rsid w:val="009052F8"/>
    <w:rsid w:val="00907837"/>
    <w:rsid w:val="009078AA"/>
    <w:rsid w:val="00911059"/>
    <w:rsid w:val="009111AC"/>
    <w:rsid w:val="00913F59"/>
    <w:rsid w:val="00913FEB"/>
    <w:rsid w:val="00916A7E"/>
    <w:rsid w:val="00917A69"/>
    <w:rsid w:val="009202F2"/>
    <w:rsid w:val="009206ED"/>
    <w:rsid w:val="00920BA4"/>
    <w:rsid w:val="009215B2"/>
    <w:rsid w:val="00921C5D"/>
    <w:rsid w:val="00921D2F"/>
    <w:rsid w:val="00922ADF"/>
    <w:rsid w:val="0092347A"/>
    <w:rsid w:val="00925A91"/>
    <w:rsid w:val="00926488"/>
    <w:rsid w:val="0093627C"/>
    <w:rsid w:val="00940D8F"/>
    <w:rsid w:val="009455E1"/>
    <w:rsid w:val="00946AD7"/>
    <w:rsid w:val="00947911"/>
    <w:rsid w:val="00953335"/>
    <w:rsid w:val="00953AB5"/>
    <w:rsid w:val="00957685"/>
    <w:rsid w:val="00960AD3"/>
    <w:rsid w:val="0096213C"/>
    <w:rsid w:val="009629ED"/>
    <w:rsid w:val="00964E17"/>
    <w:rsid w:val="00965075"/>
    <w:rsid w:val="009705EA"/>
    <w:rsid w:val="00970966"/>
    <w:rsid w:val="009713C1"/>
    <w:rsid w:val="00973125"/>
    <w:rsid w:val="009733B0"/>
    <w:rsid w:val="00974552"/>
    <w:rsid w:val="00974E25"/>
    <w:rsid w:val="009766F8"/>
    <w:rsid w:val="00982080"/>
    <w:rsid w:val="009870F3"/>
    <w:rsid w:val="00993F1F"/>
    <w:rsid w:val="009A0B4A"/>
    <w:rsid w:val="009A3E79"/>
    <w:rsid w:val="009A4B8F"/>
    <w:rsid w:val="009A4E72"/>
    <w:rsid w:val="009A6376"/>
    <w:rsid w:val="009B05DB"/>
    <w:rsid w:val="009B15B4"/>
    <w:rsid w:val="009B1C33"/>
    <w:rsid w:val="009B44D4"/>
    <w:rsid w:val="009B53AD"/>
    <w:rsid w:val="009B76D1"/>
    <w:rsid w:val="009C0E39"/>
    <w:rsid w:val="009C393F"/>
    <w:rsid w:val="009C56EC"/>
    <w:rsid w:val="009C6A31"/>
    <w:rsid w:val="009D2362"/>
    <w:rsid w:val="009D4F20"/>
    <w:rsid w:val="009D4F58"/>
    <w:rsid w:val="009D5A45"/>
    <w:rsid w:val="009D65B6"/>
    <w:rsid w:val="009E06D5"/>
    <w:rsid w:val="009E4E85"/>
    <w:rsid w:val="009E4ECB"/>
    <w:rsid w:val="009E51C3"/>
    <w:rsid w:val="009E7C63"/>
    <w:rsid w:val="009F1BEA"/>
    <w:rsid w:val="009F657E"/>
    <w:rsid w:val="009F761B"/>
    <w:rsid w:val="009F7FD3"/>
    <w:rsid w:val="00A040A1"/>
    <w:rsid w:val="00A0420C"/>
    <w:rsid w:val="00A05A73"/>
    <w:rsid w:val="00A07D4E"/>
    <w:rsid w:val="00A12040"/>
    <w:rsid w:val="00A122B4"/>
    <w:rsid w:val="00A144CC"/>
    <w:rsid w:val="00A17F76"/>
    <w:rsid w:val="00A241DF"/>
    <w:rsid w:val="00A259B7"/>
    <w:rsid w:val="00A27AEB"/>
    <w:rsid w:val="00A30ECA"/>
    <w:rsid w:val="00A328BD"/>
    <w:rsid w:val="00A32B25"/>
    <w:rsid w:val="00A3497A"/>
    <w:rsid w:val="00A349F3"/>
    <w:rsid w:val="00A37CF7"/>
    <w:rsid w:val="00A42A8D"/>
    <w:rsid w:val="00A4422B"/>
    <w:rsid w:val="00A45917"/>
    <w:rsid w:val="00A46749"/>
    <w:rsid w:val="00A467CD"/>
    <w:rsid w:val="00A535A1"/>
    <w:rsid w:val="00A535C0"/>
    <w:rsid w:val="00A5392B"/>
    <w:rsid w:val="00A62245"/>
    <w:rsid w:val="00A624EC"/>
    <w:rsid w:val="00A6334B"/>
    <w:rsid w:val="00A70793"/>
    <w:rsid w:val="00A712DB"/>
    <w:rsid w:val="00A727F8"/>
    <w:rsid w:val="00A758F5"/>
    <w:rsid w:val="00A75BDD"/>
    <w:rsid w:val="00A76A05"/>
    <w:rsid w:val="00A77046"/>
    <w:rsid w:val="00A82AE5"/>
    <w:rsid w:val="00A8351D"/>
    <w:rsid w:val="00A835FC"/>
    <w:rsid w:val="00A83796"/>
    <w:rsid w:val="00A84A02"/>
    <w:rsid w:val="00A85F43"/>
    <w:rsid w:val="00A86374"/>
    <w:rsid w:val="00A87F0A"/>
    <w:rsid w:val="00A93714"/>
    <w:rsid w:val="00A9396C"/>
    <w:rsid w:val="00A93D95"/>
    <w:rsid w:val="00A94275"/>
    <w:rsid w:val="00A9753F"/>
    <w:rsid w:val="00AA278B"/>
    <w:rsid w:val="00AA440B"/>
    <w:rsid w:val="00AA4D7F"/>
    <w:rsid w:val="00AA7E78"/>
    <w:rsid w:val="00AB0C0A"/>
    <w:rsid w:val="00AB3676"/>
    <w:rsid w:val="00AB4331"/>
    <w:rsid w:val="00AB586F"/>
    <w:rsid w:val="00AC1D42"/>
    <w:rsid w:val="00AC2837"/>
    <w:rsid w:val="00AC2860"/>
    <w:rsid w:val="00AD0AD0"/>
    <w:rsid w:val="00AD17B0"/>
    <w:rsid w:val="00AD1F36"/>
    <w:rsid w:val="00AD28C6"/>
    <w:rsid w:val="00AD2F8E"/>
    <w:rsid w:val="00AD42E4"/>
    <w:rsid w:val="00AE0BD3"/>
    <w:rsid w:val="00AE2D96"/>
    <w:rsid w:val="00AE4299"/>
    <w:rsid w:val="00AE7758"/>
    <w:rsid w:val="00AE7C99"/>
    <w:rsid w:val="00AF3FDE"/>
    <w:rsid w:val="00AF5688"/>
    <w:rsid w:val="00AF7515"/>
    <w:rsid w:val="00B0173C"/>
    <w:rsid w:val="00B02785"/>
    <w:rsid w:val="00B03049"/>
    <w:rsid w:val="00B05EA2"/>
    <w:rsid w:val="00B06CF7"/>
    <w:rsid w:val="00B07FA2"/>
    <w:rsid w:val="00B11B95"/>
    <w:rsid w:val="00B16398"/>
    <w:rsid w:val="00B175A6"/>
    <w:rsid w:val="00B21186"/>
    <w:rsid w:val="00B21B5A"/>
    <w:rsid w:val="00B23EF8"/>
    <w:rsid w:val="00B30CA8"/>
    <w:rsid w:val="00B31049"/>
    <w:rsid w:val="00B32C6E"/>
    <w:rsid w:val="00B36541"/>
    <w:rsid w:val="00B410CA"/>
    <w:rsid w:val="00B44983"/>
    <w:rsid w:val="00B45B4D"/>
    <w:rsid w:val="00B47164"/>
    <w:rsid w:val="00B478A3"/>
    <w:rsid w:val="00B50727"/>
    <w:rsid w:val="00B535FF"/>
    <w:rsid w:val="00B545D5"/>
    <w:rsid w:val="00B575B2"/>
    <w:rsid w:val="00B61090"/>
    <w:rsid w:val="00B620AF"/>
    <w:rsid w:val="00B62869"/>
    <w:rsid w:val="00B642D7"/>
    <w:rsid w:val="00B64454"/>
    <w:rsid w:val="00B66EEC"/>
    <w:rsid w:val="00B677DF"/>
    <w:rsid w:val="00B72B22"/>
    <w:rsid w:val="00B73E10"/>
    <w:rsid w:val="00B754EE"/>
    <w:rsid w:val="00B75DBB"/>
    <w:rsid w:val="00B83387"/>
    <w:rsid w:val="00B83EE0"/>
    <w:rsid w:val="00B8588E"/>
    <w:rsid w:val="00B871DD"/>
    <w:rsid w:val="00B9063E"/>
    <w:rsid w:val="00B92E48"/>
    <w:rsid w:val="00B932A5"/>
    <w:rsid w:val="00B959F4"/>
    <w:rsid w:val="00BA6842"/>
    <w:rsid w:val="00BB0C9A"/>
    <w:rsid w:val="00BB2F15"/>
    <w:rsid w:val="00BB3CAD"/>
    <w:rsid w:val="00BC15F4"/>
    <w:rsid w:val="00BC373D"/>
    <w:rsid w:val="00BC48DA"/>
    <w:rsid w:val="00BC6EBB"/>
    <w:rsid w:val="00BC77CD"/>
    <w:rsid w:val="00BD0EA8"/>
    <w:rsid w:val="00BD6728"/>
    <w:rsid w:val="00BD6BBA"/>
    <w:rsid w:val="00BE0FFD"/>
    <w:rsid w:val="00BE3EB8"/>
    <w:rsid w:val="00BE45D5"/>
    <w:rsid w:val="00BE5689"/>
    <w:rsid w:val="00BE723A"/>
    <w:rsid w:val="00BE72F7"/>
    <w:rsid w:val="00BE77E4"/>
    <w:rsid w:val="00BF6A0C"/>
    <w:rsid w:val="00BF7EA1"/>
    <w:rsid w:val="00C00AE7"/>
    <w:rsid w:val="00C015F9"/>
    <w:rsid w:val="00C01B42"/>
    <w:rsid w:val="00C0232C"/>
    <w:rsid w:val="00C02CBA"/>
    <w:rsid w:val="00C06F68"/>
    <w:rsid w:val="00C0784A"/>
    <w:rsid w:val="00C13B59"/>
    <w:rsid w:val="00C144EB"/>
    <w:rsid w:val="00C149DC"/>
    <w:rsid w:val="00C15F6D"/>
    <w:rsid w:val="00C160B4"/>
    <w:rsid w:val="00C1659E"/>
    <w:rsid w:val="00C16764"/>
    <w:rsid w:val="00C16B20"/>
    <w:rsid w:val="00C23C59"/>
    <w:rsid w:val="00C2539C"/>
    <w:rsid w:val="00C2734A"/>
    <w:rsid w:val="00C273EC"/>
    <w:rsid w:val="00C3116C"/>
    <w:rsid w:val="00C3243F"/>
    <w:rsid w:val="00C406FD"/>
    <w:rsid w:val="00C41221"/>
    <w:rsid w:val="00C41DFC"/>
    <w:rsid w:val="00C43145"/>
    <w:rsid w:val="00C434DA"/>
    <w:rsid w:val="00C437B2"/>
    <w:rsid w:val="00C44C66"/>
    <w:rsid w:val="00C45855"/>
    <w:rsid w:val="00C45F85"/>
    <w:rsid w:val="00C4679E"/>
    <w:rsid w:val="00C47272"/>
    <w:rsid w:val="00C50019"/>
    <w:rsid w:val="00C51BED"/>
    <w:rsid w:val="00C5336E"/>
    <w:rsid w:val="00C55F5B"/>
    <w:rsid w:val="00C631CD"/>
    <w:rsid w:val="00C725BF"/>
    <w:rsid w:val="00C758AC"/>
    <w:rsid w:val="00C75FB7"/>
    <w:rsid w:val="00C773AB"/>
    <w:rsid w:val="00C774CD"/>
    <w:rsid w:val="00C861DA"/>
    <w:rsid w:val="00C8684F"/>
    <w:rsid w:val="00C9217E"/>
    <w:rsid w:val="00C9601A"/>
    <w:rsid w:val="00C9670B"/>
    <w:rsid w:val="00C97059"/>
    <w:rsid w:val="00CA0B1A"/>
    <w:rsid w:val="00CA22A1"/>
    <w:rsid w:val="00CA3AA5"/>
    <w:rsid w:val="00CA47EC"/>
    <w:rsid w:val="00CA6ECD"/>
    <w:rsid w:val="00CB08A2"/>
    <w:rsid w:val="00CB1D66"/>
    <w:rsid w:val="00CB27B5"/>
    <w:rsid w:val="00CB30DE"/>
    <w:rsid w:val="00CB76CC"/>
    <w:rsid w:val="00CC08C9"/>
    <w:rsid w:val="00CC40C7"/>
    <w:rsid w:val="00CC4ED6"/>
    <w:rsid w:val="00CC5417"/>
    <w:rsid w:val="00CC66D0"/>
    <w:rsid w:val="00CC6EC1"/>
    <w:rsid w:val="00CD0E8E"/>
    <w:rsid w:val="00CD0F38"/>
    <w:rsid w:val="00CD138C"/>
    <w:rsid w:val="00CD2798"/>
    <w:rsid w:val="00CD2C5F"/>
    <w:rsid w:val="00CD38A1"/>
    <w:rsid w:val="00CD42B4"/>
    <w:rsid w:val="00CD5D23"/>
    <w:rsid w:val="00CD6BAF"/>
    <w:rsid w:val="00CD79B8"/>
    <w:rsid w:val="00CE21B0"/>
    <w:rsid w:val="00CE3014"/>
    <w:rsid w:val="00CE3C38"/>
    <w:rsid w:val="00CE3E75"/>
    <w:rsid w:val="00CE79F5"/>
    <w:rsid w:val="00CE7F81"/>
    <w:rsid w:val="00CF17C9"/>
    <w:rsid w:val="00CF2ACB"/>
    <w:rsid w:val="00CF4B51"/>
    <w:rsid w:val="00CF4DB3"/>
    <w:rsid w:val="00CF685C"/>
    <w:rsid w:val="00CF796B"/>
    <w:rsid w:val="00D006F5"/>
    <w:rsid w:val="00D01C6F"/>
    <w:rsid w:val="00D01F66"/>
    <w:rsid w:val="00D02CD8"/>
    <w:rsid w:val="00D043D8"/>
    <w:rsid w:val="00D04C58"/>
    <w:rsid w:val="00D04F24"/>
    <w:rsid w:val="00D05094"/>
    <w:rsid w:val="00D1066A"/>
    <w:rsid w:val="00D11A25"/>
    <w:rsid w:val="00D11F97"/>
    <w:rsid w:val="00D13000"/>
    <w:rsid w:val="00D13690"/>
    <w:rsid w:val="00D13809"/>
    <w:rsid w:val="00D142B9"/>
    <w:rsid w:val="00D23346"/>
    <w:rsid w:val="00D23374"/>
    <w:rsid w:val="00D256F8"/>
    <w:rsid w:val="00D26137"/>
    <w:rsid w:val="00D26A4B"/>
    <w:rsid w:val="00D270EB"/>
    <w:rsid w:val="00D27CE2"/>
    <w:rsid w:val="00D35985"/>
    <w:rsid w:val="00D3691B"/>
    <w:rsid w:val="00D375A4"/>
    <w:rsid w:val="00D418D6"/>
    <w:rsid w:val="00D430B3"/>
    <w:rsid w:val="00D43846"/>
    <w:rsid w:val="00D46F4C"/>
    <w:rsid w:val="00D47D79"/>
    <w:rsid w:val="00D506B8"/>
    <w:rsid w:val="00D5363F"/>
    <w:rsid w:val="00D5592D"/>
    <w:rsid w:val="00D56083"/>
    <w:rsid w:val="00D5666B"/>
    <w:rsid w:val="00D6280A"/>
    <w:rsid w:val="00D65802"/>
    <w:rsid w:val="00D660AD"/>
    <w:rsid w:val="00D71B8E"/>
    <w:rsid w:val="00D71E3E"/>
    <w:rsid w:val="00D764E9"/>
    <w:rsid w:val="00D80130"/>
    <w:rsid w:val="00D80F18"/>
    <w:rsid w:val="00D822C3"/>
    <w:rsid w:val="00D84949"/>
    <w:rsid w:val="00D918D8"/>
    <w:rsid w:val="00D963EB"/>
    <w:rsid w:val="00D9761B"/>
    <w:rsid w:val="00DA1BCA"/>
    <w:rsid w:val="00DA538F"/>
    <w:rsid w:val="00DB03FE"/>
    <w:rsid w:val="00DB0A6F"/>
    <w:rsid w:val="00DB1E70"/>
    <w:rsid w:val="00DB1F8E"/>
    <w:rsid w:val="00DB26BE"/>
    <w:rsid w:val="00DB34D7"/>
    <w:rsid w:val="00DC1155"/>
    <w:rsid w:val="00DC2BF0"/>
    <w:rsid w:val="00DC4244"/>
    <w:rsid w:val="00DC6ACA"/>
    <w:rsid w:val="00DD28D7"/>
    <w:rsid w:val="00DD38D4"/>
    <w:rsid w:val="00DD544C"/>
    <w:rsid w:val="00DD55C0"/>
    <w:rsid w:val="00DD5A89"/>
    <w:rsid w:val="00DD631D"/>
    <w:rsid w:val="00DD6C88"/>
    <w:rsid w:val="00DD779F"/>
    <w:rsid w:val="00DE2224"/>
    <w:rsid w:val="00DE2EF7"/>
    <w:rsid w:val="00DE360F"/>
    <w:rsid w:val="00DE36A3"/>
    <w:rsid w:val="00DE5E00"/>
    <w:rsid w:val="00DE5F3B"/>
    <w:rsid w:val="00DF0015"/>
    <w:rsid w:val="00DF0B20"/>
    <w:rsid w:val="00DF0E9A"/>
    <w:rsid w:val="00DF3902"/>
    <w:rsid w:val="00DF479E"/>
    <w:rsid w:val="00DF6808"/>
    <w:rsid w:val="00E02C34"/>
    <w:rsid w:val="00E04712"/>
    <w:rsid w:val="00E11A39"/>
    <w:rsid w:val="00E13CCD"/>
    <w:rsid w:val="00E1486E"/>
    <w:rsid w:val="00E14EFF"/>
    <w:rsid w:val="00E23F0B"/>
    <w:rsid w:val="00E2746E"/>
    <w:rsid w:val="00E31F38"/>
    <w:rsid w:val="00E40C0C"/>
    <w:rsid w:val="00E42B65"/>
    <w:rsid w:val="00E473C8"/>
    <w:rsid w:val="00E50EC2"/>
    <w:rsid w:val="00E51D42"/>
    <w:rsid w:val="00E526AC"/>
    <w:rsid w:val="00E52D42"/>
    <w:rsid w:val="00E53B3C"/>
    <w:rsid w:val="00E5456A"/>
    <w:rsid w:val="00E56CC4"/>
    <w:rsid w:val="00E56FE6"/>
    <w:rsid w:val="00E57739"/>
    <w:rsid w:val="00E612D7"/>
    <w:rsid w:val="00E63D0B"/>
    <w:rsid w:val="00E67197"/>
    <w:rsid w:val="00E67F7B"/>
    <w:rsid w:val="00E704B8"/>
    <w:rsid w:val="00E726A3"/>
    <w:rsid w:val="00E72B31"/>
    <w:rsid w:val="00E73CBF"/>
    <w:rsid w:val="00E82E9F"/>
    <w:rsid w:val="00E8751D"/>
    <w:rsid w:val="00E916C6"/>
    <w:rsid w:val="00E91FE4"/>
    <w:rsid w:val="00E94D3E"/>
    <w:rsid w:val="00E95117"/>
    <w:rsid w:val="00E95D97"/>
    <w:rsid w:val="00E97423"/>
    <w:rsid w:val="00E97630"/>
    <w:rsid w:val="00EA01ED"/>
    <w:rsid w:val="00EA0709"/>
    <w:rsid w:val="00EA3264"/>
    <w:rsid w:val="00EA64CF"/>
    <w:rsid w:val="00EA6BEF"/>
    <w:rsid w:val="00EA78DD"/>
    <w:rsid w:val="00EB16A9"/>
    <w:rsid w:val="00EB6EFE"/>
    <w:rsid w:val="00EB7D39"/>
    <w:rsid w:val="00EC36A4"/>
    <w:rsid w:val="00EC3B0F"/>
    <w:rsid w:val="00EC5472"/>
    <w:rsid w:val="00EC5B02"/>
    <w:rsid w:val="00EC7CDF"/>
    <w:rsid w:val="00ED52A1"/>
    <w:rsid w:val="00ED7407"/>
    <w:rsid w:val="00EE0700"/>
    <w:rsid w:val="00EE0C27"/>
    <w:rsid w:val="00EE1251"/>
    <w:rsid w:val="00EE641A"/>
    <w:rsid w:val="00EF0A78"/>
    <w:rsid w:val="00EF16DA"/>
    <w:rsid w:val="00EF349E"/>
    <w:rsid w:val="00EF6442"/>
    <w:rsid w:val="00EF6D40"/>
    <w:rsid w:val="00F0222C"/>
    <w:rsid w:val="00F037C1"/>
    <w:rsid w:val="00F04C17"/>
    <w:rsid w:val="00F04F55"/>
    <w:rsid w:val="00F050A8"/>
    <w:rsid w:val="00F0620A"/>
    <w:rsid w:val="00F06336"/>
    <w:rsid w:val="00F10763"/>
    <w:rsid w:val="00F113C9"/>
    <w:rsid w:val="00F13FD8"/>
    <w:rsid w:val="00F1599F"/>
    <w:rsid w:val="00F17669"/>
    <w:rsid w:val="00F20109"/>
    <w:rsid w:val="00F242CC"/>
    <w:rsid w:val="00F25B30"/>
    <w:rsid w:val="00F3682F"/>
    <w:rsid w:val="00F36E88"/>
    <w:rsid w:val="00F41B2F"/>
    <w:rsid w:val="00F41CA8"/>
    <w:rsid w:val="00F42222"/>
    <w:rsid w:val="00F45E68"/>
    <w:rsid w:val="00F47218"/>
    <w:rsid w:val="00F523AA"/>
    <w:rsid w:val="00F53643"/>
    <w:rsid w:val="00F53A97"/>
    <w:rsid w:val="00F540C3"/>
    <w:rsid w:val="00F5533A"/>
    <w:rsid w:val="00F5733C"/>
    <w:rsid w:val="00F63B7A"/>
    <w:rsid w:val="00F65A1F"/>
    <w:rsid w:val="00F66AD9"/>
    <w:rsid w:val="00F67C84"/>
    <w:rsid w:val="00F67D02"/>
    <w:rsid w:val="00F708FE"/>
    <w:rsid w:val="00F70A85"/>
    <w:rsid w:val="00F7179C"/>
    <w:rsid w:val="00F71C1D"/>
    <w:rsid w:val="00F759CC"/>
    <w:rsid w:val="00F766FA"/>
    <w:rsid w:val="00F77911"/>
    <w:rsid w:val="00F82398"/>
    <w:rsid w:val="00F82F90"/>
    <w:rsid w:val="00F83A2A"/>
    <w:rsid w:val="00F84241"/>
    <w:rsid w:val="00F84E63"/>
    <w:rsid w:val="00F91778"/>
    <w:rsid w:val="00F92F57"/>
    <w:rsid w:val="00F93370"/>
    <w:rsid w:val="00F963AC"/>
    <w:rsid w:val="00F9751E"/>
    <w:rsid w:val="00F97E4C"/>
    <w:rsid w:val="00FA0A09"/>
    <w:rsid w:val="00FA16EC"/>
    <w:rsid w:val="00FA2697"/>
    <w:rsid w:val="00FA411D"/>
    <w:rsid w:val="00FA4E51"/>
    <w:rsid w:val="00FA6A22"/>
    <w:rsid w:val="00FA6E35"/>
    <w:rsid w:val="00FA7CCF"/>
    <w:rsid w:val="00FB1036"/>
    <w:rsid w:val="00FB3347"/>
    <w:rsid w:val="00FB41EC"/>
    <w:rsid w:val="00FB53B8"/>
    <w:rsid w:val="00FB6180"/>
    <w:rsid w:val="00FC0962"/>
    <w:rsid w:val="00FC26EF"/>
    <w:rsid w:val="00FC503F"/>
    <w:rsid w:val="00FC7C23"/>
    <w:rsid w:val="00FD77A1"/>
    <w:rsid w:val="00FE216C"/>
    <w:rsid w:val="00FE29E1"/>
    <w:rsid w:val="00FE602E"/>
    <w:rsid w:val="00FE64AE"/>
    <w:rsid w:val="00FF0CF5"/>
    <w:rsid w:val="00FF36D4"/>
    <w:rsid w:val="00FF4368"/>
    <w:rsid w:val="00FF7AA4"/>
    <w:rsid w:val="3114D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DE6A"/>
  <w15:chartTrackingRefBased/>
  <w15:docId w15:val="{D8FDA4F2-B033-4E2E-B405-8AE2411F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A7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EA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95A"/>
    <w:pPr>
      <w:spacing w:after="260" w:line="240" w:lineRule="auto"/>
      <w:contextualSpacing/>
    </w:pPr>
    <w:rPr>
      <w:rFonts w:eastAsiaTheme="majorEastAsia" w:cstheme="majorBidi"/>
      <w:color w:val="4472C4" w:themeColor="accent1"/>
      <w:spacing w:val="-10"/>
      <w:kern w:val="28"/>
      <w:sz w:val="26"/>
      <w:szCs w:val="56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53795A"/>
    <w:rPr>
      <w:rFonts w:ascii="Tahoma" w:eastAsiaTheme="majorEastAsia" w:hAnsi="Tahoma" w:cstheme="majorBidi"/>
      <w:color w:val="4472C4" w:themeColor="accent1"/>
      <w:spacing w:val="-10"/>
      <w:kern w:val="28"/>
      <w:sz w:val="26"/>
      <w:szCs w:val="56"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1C4EA7"/>
    <w:rPr>
      <w:rFonts w:ascii="Tahoma" w:eastAsiaTheme="majorEastAsia" w:hAnsi="Tahom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873"/>
    <w:pPr>
      <w:numPr>
        <w:ilvl w:val="1"/>
      </w:numPr>
      <w:spacing w:after="120"/>
    </w:pPr>
    <w:rPr>
      <w:rFonts w:eastAsiaTheme="minorEastAsia"/>
      <w:color w:val="7F7F7F" w:themeColor="text1" w:themeTint="80"/>
      <w:spacing w:val="15"/>
      <w:sz w:val="22"/>
      <w:lang w:val="hy-AM"/>
    </w:rPr>
  </w:style>
  <w:style w:type="character" w:customStyle="1" w:styleId="SubtitleChar">
    <w:name w:val="Subtitle Char"/>
    <w:basedOn w:val="DefaultParagraphFont"/>
    <w:link w:val="Subtitle"/>
    <w:uiPriority w:val="11"/>
    <w:rsid w:val="00496873"/>
    <w:rPr>
      <w:rFonts w:ascii="Tahoma" w:eastAsiaTheme="minorEastAsia" w:hAnsi="Tahoma"/>
      <w:color w:val="7F7F7F" w:themeColor="text1" w:themeTint="80"/>
      <w:spacing w:val="15"/>
      <w:lang w:val="hy-A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65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65E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6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F90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F8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90"/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0F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F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ustomer.guru/net-promoter-score/industry/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2444793d7733a34/Documents/Quality/surveys/Surveys%202022/annual/cle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2444793d7733a34/Documents/Quality/surveys/Surveys%202022/annual/clea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2444793d7733a34/Documents/Quality/surveys/Surveys%202022/annual/clea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oleObject" Target="https://d.docs.live.net/d2444793d7733a34/Documents/Quality/surveys/Surveys%202022/annual/clean.xlsx" TargetMode="External"/><Relationship Id="rId4" Type="http://schemas.openxmlformats.org/officeDocument/2006/relationships/image" Target="../media/image2.png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2444793d7733a34/Documents/Quality/surveys/Surveys%202022/annual/clea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2444793d7733a34/Documents/Quality/surveys/Surveys%202022/annual/clean.xlsx" TargetMode="External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59302446349136"/>
          <c:y val="4.5387982043806237E-2"/>
          <c:w val="0.77622462108576773"/>
          <c:h val="0.742512102653834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FC2-424D-B5E6-6FF1E40ADA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FC2-424D-B5E6-6FF1E40ADA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FC2-424D-B5E6-6FF1E40ADA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FC2-424D-B5E6-6FF1E40ADA2D}"/>
              </c:ext>
            </c:extLst>
          </c:dPt>
          <c:dPt>
            <c:idx val="4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FC2-424D-B5E6-6FF1E40ADA2D}"/>
              </c:ext>
            </c:extLst>
          </c:dPt>
          <c:dLbls>
            <c:dLbl>
              <c:idx val="0"/>
              <c:layout>
                <c:manualLayout>
                  <c:x val="0.23863257302876301"/>
                  <c:y val="4.71694371536891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77691223093374"/>
                      <c:h val="0.186157480314960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FC2-424D-B5E6-6FF1E40ADA2D}"/>
                </c:ext>
              </c:extLst>
            </c:dLbl>
            <c:dLbl>
              <c:idx val="1"/>
              <c:layout>
                <c:manualLayout>
                  <c:x val="2.6574032286547887E-2"/>
                  <c:y val="3.72012248468941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73043910051785"/>
                      <c:h val="0.16871486642843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FC2-424D-B5E6-6FF1E40ADA2D}"/>
                </c:ext>
              </c:extLst>
            </c:dLbl>
            <c:dLbl>
              <c:idx val="2"/>
              <c:layout>
                <c:manualLayout>
                  <c:x val="0.12136594130788832"/>
                  <c:y val="7.65246427529892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319013968038614"/>
                      <c:h val="0.16980810731991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FC2-424D-B5E6-6FF1E40ADA2D}"/>
                </c:ext>
              </c:extLst>
            </c:dLbl>
            <c:dLbl>
              <c:idx val="3"/>
              <c:layout>
                <c:manualLayout>
                  <c:x val="-9.7582853763073137E-3"/>
                  <c:y val="7.71093613298336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09408734018606"/>
                      <c:h val="0.204617672790901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FC2-424D-B5E6-6FF1E40ADA2D}"/>
                </c:ext>
              </c:extLst>
            </c:dLbl>
            <c:dLbl>
              <c:idx val="4"/>
              <c:layout>
                <c:manualLayout>
                  <c:x val="-1.782582144613282E-2"/>
                  <c:y val="-6.12610175038076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rgbClr val="99CC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61105613845261"/>
                      <c:h val="0.18162029746281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FC2-424D-B5E6-6FF1E40ADA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[clean.xlsx]Population!$A$517:$A$521</c:f>
              <c:strCache>
                <c:ptCount val="5"/>
                <c:pt idx="0">
                  <c:v>Ուսանղներ  Students</c:v>
                </c:pt>
                <c:pt idx="1">
                  <c:v>Շրջանավարտներ Graduates</c:v>
                </c:pt>
                <c:pt idx="2">
                  <c:v>Դասավանդողներ  Teachers</c:v>
                </c:pt>
                <c:pt idx="3">
                  <c:v>Վարչական կազմ Admin staff</c:v>
                </c:pt>
                <c:pt idx="4">
                  <c:v>Գործատուներ Employers</c:v>
                </c:pt>
              </c:strCache>
            </c:strRef>
          </c:cat>
          <c:val>
            <c:numRef>
              <c:f>[clean.xlsx]Population!$B$517:$B$521</c:f>
              <c:numCache>
                <c:formatCode>General</c:formatCode>
                <c:ptCount val="5"/>
                <c:pt idx="0">
                  <c:v>372</c:v>
                </c:pt>
                <c:pt idx="1">
                  <c:v>60</c:v>
                </c:pt>
                <c:pt idx="2">
                  <c:v>57</c:v>
                </c:pt>
                <c:pt idx="3">
                  <c:v>19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FC2-424D-B5E6-6FF1E40AD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rgbClr val="FF0000"/>
                </a:solidFill>
              </a:rPr>
              <a:t>NPS: 59.53↓</a:t>
            </a:r>
          </a:p>
        </c:rich>
      </c:tx>
      <c:layout>
        <c:manualLayout>
          <c:xMode val="edge"/>
          <c:yMode val="edge"/>
          <c:x val="6.0981223500908566E-2"/>
          <c:y val="0.135287485907553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8221590644364723E-2"/>
          <c:y val="3.8598170660852915E-2"/>
          <c:w val="0.94110966158815945"/>
          <c:h val="0.710888720926895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[clean.xlsx]NPS!$E$517</c:f>
              <c:strCache>
                <c:ptCount val="1"/>
                <c:pt idx="0">
                  <c:v>Ուսանղներ • Students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[clean.xlsx]NPS!$F$516:$J$516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[clean.xlsx]NPS!$F$517:$J$517</c:f>
              <c:numCache>
                <c:formatCode>General</c:formatCode>
                <c:ptCount val="5"/>
                <c:pt idx="0">
                  <c:v>28</c:v>
                </c:pt>
                <c:pt idx="1">
                  <c:v>28</c:v>
                </c:pt>
                <c:pt idx="2">
                  <c:v>63</c:v>
                </c:pt>
                <c:pt idx="3">
                  <c:v>69</c:v>
                </c:pt>
                <c:pt idx="4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C-464D-823A-FC764DA25544}"/>
            </c:ext>
          </c:extLst>
        </c:ser>
        <c:ser>
          <c:idx val="1"/>
          <c:order val="1"/>
          <c:tx>
            <c:strRef>
              <c:f>[clean.xlsx]NPS!$E$518</c:f>
              <c:strCache>
                <c:ptCount val="1"/>
                <c:pt idx="0">
                  <c:v>Շրջանավարտներ • Graduates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[clean.xlsx]NPS!$F$516:$J$516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[clean.xlsx]NPS!$F$518:$J$518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4C-464D-823A-FC764DA25544}"/>
            </c:ext>
          </c:extLst>
        </c:ser>
        <c:ser>
          <c:idx val="2"/>
          <c:order val="2"/>
          <c:tx>
            <c:strRef>
              <c:f>[clean.xlsx]NPS!$E$519</c:f>
              <c:strCache>
                <c:ptCount val="1"/>
                <c:pt idx="0">
                  <c:v>Դասավանդողներ • Teachers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[clean.xlsx]NPS!$F$516:$J$516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[clean.xlsx]NPS!$F$519:$J$519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4C-464D-823A-FC764DA25544}"/>
            </c:ext>
          </c:extLst>
        </c:ser>
        <c:ser>
          <c:idx val="3"/>
          <c:order val="3"/>
          <c:tx>
            <c:strRef>
              <c:f>[clean.xlsx]NPS!$E$520</c:f>
              <c:strCache>
                <c:ptCount val="1"/>
                <c:pt idx="0">
                  <c:v>Վարչական կազմ • Admin staff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[clean.xlsx]NPS!$F$516:$J$516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[clean.xlsx]NPS!$F$520:$J$520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13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4C-464D-823A-FC764DA25544}"/>
            </c:ext>
          </c:extLst>
        </c:ser>
        <c:ser>
          <c:idx val="4"/>
          <c:order val="4"/>
          <c:tx>
            <c:strRef>
              <c:f>[clean.xlsx]NPS!$E$521</c:f>
              <c:strCache>
                <c:ptCount val="1"/>
                <c:pt idx="0">
                  <c:v>Գործատուներ • Employers</c:v>
                </c:pt>
              </c:strCache>
            </c:strRef>
          </c:tx>
          <c:spPr>
            <a:solidFill>
              <a:srgbClr val="99CC00"/>
            </a:solidFill>
            <a:ln>
              <a:solidFill>
                <a:srgbClr val="92D050"/>
              </a:solidFill>
            </a:ln>
            <a:effectLst/>
          </c:spPr>
          <c:invertIfNegative val="0"/>
          <c:cat>
            <c:numRef>
              <c:f>[clean.xlsx]NPS!$F$516:$J$516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[clean.xlsx]NPS!$F$521:$J$521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4C-464D-823A-FC764DA25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5302303"/>
        <c:axId val="905313119"/>
      </c:barChart>
      <c:catAx>
        <c:axId val="905302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5313119"/>
        <c:crosses val="autoZero"/>
        <c:auto val="1"/>
        <c:lblAlgn val="ctr"/>
        <c:lblOffset val="100"/>
        <c:noMultiLvlLbl val="0"/>
      </c:catAx>
      <c:valAx>
        <c:axId val="905313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5302303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accent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accent2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accent4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99CC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"/>
          <c:y val="0.89206756613986793"/>
          <c:w val="1"/>
          <c:h val="0.107932645328861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chemeClr val="accent6">
                    <a:lumMod val="75000"/>
                  </a:schemeClr>
                </a:solidFill>
              </a:rPr>
              <a:t>CSAT: 70↑</a:t>
            </a:r>
          </a:p>
        </c:rich>
      </c:tx>
      <c:layout>
        <c:manualLayout>
          <c:xMode val="edge"/>
          <c:yMode val="edge"/>
          <c:x val="7.2934786677814251E-2"/>
          <c:y val="0.224936619862124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6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6610803998153164E-2"/>
          <c:y val="0.10461967541200737"/>
          <c:w val="0.93357937032831273"/>
          <c:h val="0.679527850793382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[clean.xlsx]CSAT!$G$5</c:f>
              <c:strCache>
                <c:ptCount val="1"/>
                <c:pt idx="0">
                  <c:v>Ուսանղներ • Students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[clean.xlsx]CSAT!$H$4:$L$4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[clean.xlsx]CSAT!$H$5:$L$5</c:f>
              <c:numCache>
                <c:formatCode>General</c:formatCode>
                <c:ptCount val="5"/>
                <c:pt idx="0">
                  <c:v>14</c:v>
                </c:pt>
                <c:pt idx="1">
                  <c:v>28</c:v>
                </c:pt>
                <c:pt idx="2">
                  <c:v>85</c:v>
                </c:pt>
                <c:pt idx="3">
                  <c:v>76</c:v>
                </c:pt>
                <c:pt idx="4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F-423D-B9C0-08B35EE4309E}"/>
            </c:ext>
          </c:extLst>
        </c:ser>
        <c:ser>
          <c:idx val="1"/>
          <c:order val="1"/>
          <c:tx>
            <c:strRef>
              <c:f>[clean.xlsx]CSAT!$G$6</c:f>
              <c:strCache>
                <c:ptCount val="1"/>
                <c:pt idx="0">
                  <c:v>Շրջանավարտներ • Graduates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[clean.xlsx]CSAT!$H$4:$L$4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[clean.xlsx]CSAT!$H$6:$L$6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12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BF-423D-B9C0-08B35EE4309E}"/>
            </c:ext>
          </c:extLst>
        </c:ser>
        <c:ser>
          <c:idx val="2"/>
          <c:order val="2"/>
          <c:tx>
            <c:strRef>
              <c:f>[clean.xlsx]CSAT!$G$7</c:f>
              <c:strCache>
                <c:ptCount val="1"/>
                <c:pt idx="0">
                  <c:v>Դասավանդողներ • Teachers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[clean.xlsx]CSAT!$H$4:$L$4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[clean.xlsx]CSAT!$H$7:$L$7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19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BF-423D-B9C0-08B35EE4309E}"/>
            </c:ext>
          </c:extLst>
        </c:ser>
        <c:ser>
          <c:idx val="3"/>
          <c:order val="3"/>
          <c:tx>
            <c:strRef>
              <c:f>[clean.xlsx]CSAT!$G$8</c:f>
              <c:strCache>
                <c:ptCount val="1"/>
                <c:pt idx="0">
                  <c:v>Վարչական կազմ • Admin staff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[clean.xlsx]CSAT!$H$4:$L$4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[clean.xlsx]CSAT!$H$8:$L$8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BF-423D-B9C0-08B35EE4309E}"/>
            </c:ext>
          </c:extLst>
        </c:ser>
        <c:ser>
          <c:idx val="4"/>
          <c:order val="4"/>
          <c:tx>
            <c:strRef>
              <c:f>[clean.xlsx]CSAT!$G$9</c:f>
              <c:strCache>
                <c:ptCount val="1"/>
                <c:pt idx="0">
                  <c:v>Գործատուներ • Employers</c:v>
                </c:pt>
              </c:strCache>
            </c:strRef>
          </c:tx>
          <c:spPr>
            <a:solidFill>
              <a:srgbClr val="99CC00"/>
            </a:solidFill>
            <a:ln>
              <a:noFill/>
            </a:ln>
            <a:effectLst/>
          </c:spPr>
          <c:invertIfNegative val="0"/>
          <c:cat>
            <c:numRef>
              <c:f>[clean.xlsx]CSAT!$H$4:$L$4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[clean.xlsx]CSAT!$H$9:$L$9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BF-423D-B9C0-08B35EE430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5304880"/>
        <c:axId val="1506735536"/>
      </c:barChart>
      <c:catAx>
        <c:axId val="16530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6735536"/>
        <c:crosses val="autoZero"/>
        <c:auto val="1"/>
        <c:lblAlgn val="ctr"/>
        <c:lblOffset val="100"/>
        <c:noMultiLvlLbl val="0"/>
      </c:catAx>
      <c:valAx>
        <c:axId val="1506735536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30488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accen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accent4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accent6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"/>
          <c:y val="0.90194027633338281"/>
          <c:w val="1"/>
          <c:h val="9.43409145226822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13731460255942"/>
          <c:y val="2.0833333333333332E-2"/>
          <c:w val="0.69852694926778769"/>
          <c:h val="0.8527898075240595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[clean.xlsx]CSAT!$H$19</c:f>
              <c:strCache>
                <c:ptCount val="1"/>
                <c:pt idx="0">
                  <c:v>2022</c:v>
                </c:pt>
              </c:strCache>
            </c:strRef>
          </c:tx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  <a:ln cap="rnd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[clean.xlsx]CSAT!$G$20:$G$24</c:f>
              <c:strCache>
                <c:ptCount val="5"/>
                <c:pt idx="0">
                  <c:v>Ուսանղներ • Students</c:v>
                </c:pt>
                <c:pt idx="1">
                  <c:v>Շրջանավարտներ • Graduates</c:v>
                </c:pt>
                <c:pt idx="2">
                  <c:v>Դասավանդողներ • Teachers</c:v>
                </c:pt>
                <c:pt idx="3">
                  <c:v>Վարչական կազմ • Admin staff</c:v>
                </c:pt>
                <c:pt idx="4">
                  <c:v>Գործատուներ • Employers</c:v>
                </c:pt>
              </c:strCache>
            </c:strRef>
          </c:cat>
          <c:val>
            <c:numRef>
              <c:f>[clean.xlsx]CSAT!$H$20:$H$24</c:f>
              <c:numCache>
                <c:formatCode>General</c:formatCode>
                <c:ptCount val="5"/>
                <c:pt idx="0" formatCode="0.00">
                  <c:v>3.9623655913978495</c:v>
                </c:pt>
                <c:pt idx="1">
                  <c:v>4.0999999999999996</c:v>
                </c:pt>
                <c:pt idx="2" formatCode="0.00">
                  <c:v>4.4210526315789478</c:v>
                </c:pt>
                <c:pt idx="3" formatCode="0.00">
                  <c:v>4.5263157894736841</c:v>
                </c:pt>
                <c:pt idx="4" formatCode="0.00">
                  <c:v>4.333333333333333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7D-4720-9C87-1F80C17DB5C1}"/>
            </c:ext>
          </c:extLst>
        </c:ser>
        <c:ser>
          <c:idx val="0"/>
          <c:order val="1"/>
          <c:tx>
            <c:strRef>
              <c:f>[clean.xlsx]CSAT!$I$19</c:f>
              <c:strCache>
                <c:ptCount val="1"/>
                <c:pt idx="0">
                  <c:v>2021</c:v>
                </c:pt>
              </c:strCache>
            </c:strRef>
          </c:tx>
          <c:spPr>
            <a:blipFill>
              <a:blip xmlns:r="http://schemas.openxmlformats.org/officeDocument/2006/relationships" r:embed="rId4"/>
              <a:stretch>
                <a:fillRect/>
              </a:stretch>
            </a:blip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[clean.xlsx]CSAT!$G$20:$G$24</c:f>
              <c:strCache>
                <c:ptCount val="5"/>
                <c:pt idx="0">
                  <c:v>Ուսանղներ • Students</c:v>
                </c:pt>
                <c:pt idx="1">
                  <c:v>Շրջանավարտներ • Graduates</c:v>
                </c:pt>
                <c:pt idx="2">
                  <c:v>Դասավանդողներ • Teachers</c:v>
                </c:pt>
                <c:pt idx="3">
                  <c:v>Վարչական կազմ • Admin staff</c:v>
                </c:pt>
                <c:pt idx="4">
                  <c:v>Գործատուներ • Employers</c:v>
                </c:pt>
              </c:strCache>
            </c:strRef>
          </c:cat>
          <c:val>
            <c:numRef>
              <c:f>[clean.xlsx]CSAT!$I$20:$I$24</c:f>
              <c:numCache>
                <c:formatCode>0.00</c:formatCode>
                <c:ptCount val="5"/>
                <c:pt idx="0">
                  <c:v>3.4307692307692306</c:v>
                </c:pt>
                <c:pt idx="1">
                  <c:v>3.8571428571428572</c:v>
                </c:pt>
                <c:pt idx="2">
                  <c:v>3.7333333333333334</c:v>
                </c:pt>
                <c:pt idx="3" formatCode="General">
                  <c:v>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7D-4720-9C87-1F80C17DB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308702000"/>
        <c:axId val="261797920"/>
      </c:barChart>
      <c:catAx>
        <c:axId val="30870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61797920"/>
        <c:crosses val="autoZero"/>
        <c:auto val="1"/>
        <c:lblAlgn val="ctr"/>
        <c:lblOffset val="100"/>
        <c:noMultiLvlLbl val="0"/>
      </c:catAx>
      <c:valAx>
        <c:axId val="261797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020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269244422280894E-2"/>
          <c:y val="0.8937382473032579"/>
          <c:w val="0.1691933891513043"/>
          <c:h val="0.106261670772219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5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892589991519813E-2"/>
          <c:y val="4.2876812529581344E-2"/>
          <c:w val="0.94670241677557565"/>
          <c:h val="0.738805805012078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[clean.xlsx]CES!$G$5</c:f>
              <c:strCache>
                <c:ptCount val="1"/>
                <c:pt idx="0">
                  <c:v>Ուսանղներ • Students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[clean.xlsx]CES!$H$4:$L$4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[clean.xlsx]CES!$H$5:$L$5</c:f>
              <c:numCache>
                <c:formatCode>General</c:formatCode>
                <c:ptCount val="5"/>
                <c:pt idx="0">
                  <c:v>18</c:v>
                </c:pt>
                <c:pt idx="1">
                  <c:v>34</c:v>
                </c:pt>
                <c:pt idx="2">
                  <c:v>69</c:v>
                </c:pt>
                <c:pt idx="3">
                  <c:v>98</c:v>
                </c:pt>
                <c:pt idx="4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2-4296-8579-B95BBC4825D9}"/>
            </c:ext>
          </c:extLst>
        </c:ser>
        <c:ser>
          <c:idx val="1"/>
          <c:order val="1"/>
          <c:tx>
            <c:strRef>
              <c:f>[clean.xlsx]CES!$G$6</c:f>
              <c:strCache>
                <c:ptCount val="1"/>
                <c:pt idx="0">
                  <c:v>Շրջանավարտներ • Graduates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[clean.xlsx]CES!$H$4:$L$4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[clean.xlsx]CES!$H$6:$L$6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11</c:v>
                </c:pt>
                <c:pt idx="3">
                  <c:v>12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A2-4296-8579-B95BBC4825D9}"/>
            </c:ext>
          </c:extLst>
        </c:ser>
        <c:ser>
          <c:idx val="2"/>
          <c:order val="2"/>
          <c:tx>
            <c:strRef>
              <c:f>[clean.xlsx]CES!$G$7</c:f>
              <c:strCache>
                <c:ptCount val="1"/>
                <c:pt idx="0">
                  <c:v>Դասավանդողներ • Teachers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[clean.xlsx]CES!$H$4:$L$4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[clean.xlsx]CES!$H$7:$L$7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19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A2-4296-8579-B95BBC4825D9}"/>
            </c:ext>
          </c:extLst>
        </c:ser>
        <c:ser>
          <c:idx val="3"/>
          <c:order val="3"/>
          <c:tx>
            <c:strRef>
              <c:f>[clean.xlsx]CES!$G$8</c:f>
              <c:strCache>
                <c:ptCount val="1"/>
                <c:pt idx="0">
                  <c:v>Վարչական կազմ • Admin staff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[clean.xlsx]CES!$H$4:$L$4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[clean.xlsx]CES!$H$8:$L$8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A2-4296-8579-B95BBC4825D9}"/>
            </c:ext>
          </c:extLst>
        </c:ser>
        <c:ser>
          <c:idx val="4"/>
          <c:order val="4"/>
          <c:tx>
            <c:strRef>
              <c:f>[clean.xlsx]CES!$G$9</c:f>
              <c:strCache>
                <c:ptCount val="1"/>
                <c:pt idx="0">
                  <c:v>Գործատուներ • Employers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[clean.xlsx]CES!$H$4:$L$4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[clean.xlsx]CES!$H$9:$L$9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A2-4296-8579-B95BBC482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7925375"/>
        <c:axId val="1177097455"/>
      </c:barChart>
      <c:catAx>
        <c:axId val="817925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7097455"/>
        <c:crosses val="autoZero"/>
        <c:auto val="1"/>
        <c:lblAlgn val="ctr"/>
        <c:lblOffset val="100"/>
        <c:noMultiLvlLbl val="0"/>
      </c:catAx>
      <c:valAx>
        <c:axId val="1177097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7925375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accent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accent2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accent4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99CC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"/>
          <c:y val="0.89191023253240886"/>
          <c:w val="1"/>
          <c:h val="0.108089767467591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513732569818184"/>
          <c:y val="0"/>
          <c:w val="0.69852694926778769"/>
          <c:h val="0.9228723555137299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[clean.xlsx]CES!$H$18</c:f>
              <c:strCache>
                <c:ptCount val="1"/>
                <c:pt idx="0">
                  <c:v>2022</c:v>
                </c:pt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 cap="rnd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[clean.xlsx]CES!$G$19:$G$23</c:f>
              <c:strCache>
                <c:ptCount val="5"/>
                <c:pt idx="0">
                  <c:v>Ուսանղներ • Students</c:v>
                </c:pt>
                <c:pt idx="1">
                  <c:v>Շրջանավարտներ • Graduates</c:v>
                </c:pt>
                <c:pt idx="2">
                  <c:v>Դասավանդողներ • Teachers</c:v>
                </c:pt>
                <c:pt idx="3">
                  <c:v>Վարչական կազմ • Admin staff</c:v>
                </c:pt>
                <c:pt idx="4">
                  <c:v>Գործատուներ • Employers</c:v>
                </c:pt>
              </c:strCache>
            </c:strRef>
          </c:cat>
          <c:val>
            <c:numRef>
              <c:f>[clean.xlsx]CES!$H$19:$H$23</c:f>
              <c:numCache>
                <c:formatCode>General</c:formatCode>
                <c:ptCount val="5"/>
                <c:pt idx="0" formatCode="0.00">
                  <c:v>3.8978494623655915</c:v>
                </c:pt>
                <c:pt idx="1">
                  <c:v>3.75</c:v>
                </c:pt>
                <c:pt idx="2" formatCode="0.00">
                  <c:v>4.3157894736842106</c:v>
                </c:pt>
                <c:pt idx="3" formatCode="0.00">
                  <c:v>4.4736842105263159</c:v>
                </c:pt>
                <c:pt idx="4" formatCode="0.00">
                  <c:v>4.166666666666667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C9-4B6A-8FFB-416E41ADD2B1}"/>
            </c:ext>
          </c:extLst>
        </c:ser>
        <c:ser>
          <c:idx val="0"/>
          <c:order val="1"/>
          <c:tx>
            <c:strRef>
              <c:f>[clean.xlsx]CES!$I$18</c:f>
              <c:strCache>
                <c:ptCount val="1"/>
                <c:pt idx="0">
                  <c:v>2021</c:v>
                </c:pt>
              </c:strCache>
            </c:strRef>
          </c:tx>
          <c:spPr>
            <a:blipFill>
              <a:blip xmlns:r="http://schemas.openxmlformats.org/officeDocument/2006/relationships" r:embed="rId2"/>
              <a:stretch>
                <a:fillRect/>
              </a:stretch>
            </a:blip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[clean.xlsx]CES!$G$19:$G$23</c:f>
              <c:strCache>
                <c:ptCount val="5"/>
                <c:pt idx="0">
                  <c:v>Ուսանղներ • Students</c:v>
                </c:pt>
                <c:pt idx="1">
                  <c:v>Շրջանավարտներ • Graduates</c:v>
                </c:pt>
                <c:pt idx="2">
                  <c:v>Դասավանդողներ • Teachers</c:v>
                </c:pt>
                <c:pt idx="3">
                  <c:v>Վարչական կազմ • Admin staff</c:v>
                </c:pt>
                <c:pt idx="4">
                  <c:v>Գործատուներ • Employers</c:v>
                </c:pt>
              </c:strCache>
            </c:strRef>
          </c:cat>
          <c:val>
            <c:numRef>
              <c:f>[clean.xlsx]CES!$I$19:$I$23</c:f>
              <c:numCache>
                <c:formatCode>General</c:formatCode>
                <c:ptCount val="5"/>
                <c:pt idx="0" formatCode="0">
                  <c:v>3.42</c:v>
                </c:pt>
                <c:pt idx="1">
                  <c:v>3.86</c:v>
                </c:pt>
                <c:pt idx="2">
                  <c:v>3.73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C9-4B6A-8FFB-416E41ADD2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308702000"/>
        <c:axId val="261797920"/>
      </c:barChart>
      <c:catAx>
        <c:axId val="30870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61797920"/>
        <c:crosses val="autoZero"/>
        <c:auto val="1"/>
        <c:lblAlgn val="ctr"/>
        <c:lblOffset val="100"/>
        <c:noMultiLvlLbl val="0"/>
      </c:catAx>
      <c:valAx>
        <c:axId val="261797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02000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2.5269244422280894E-2"/>
          <c:y val="0.8937382473032579"/>
          <c:w val="0.1691933891513043"/>
          <c:h val="0.106261670772219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67F0-5E85-4AB1-8F23-53DCF979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Hrachia Kazhoyan</dc:creator>
  <cp:keywords/>
  <dc:description/>
  <cp:lastModifiedBy>Hrachia Kazhoyan</cp:lastModifiedBy>
  <cp:revision>742</cp:revision>
  <dcterms:created xsi:type="dcterms:W3CDTF">2022-01-13T07:22:00Z</dcterms:created>
  <dcterms:modified xsi:type="dcterms:W3CDTF">2023-03-08T14:41:00Z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b14ac27788829114780e3c7d742c2c8f9ed355b08f9574a67f0e050bf6b888ff</vt:lpwstr>
  </property>
</Properties>
</file>